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center"/>
        <w:rPr>
          <w:rFonts w:hint="default" w:ascii="Times New Roman" w:hAnsi="Times New Roman" w:eastAsia="宋体" w:cs="Times New Roman"/>
          <w:sz w:val="24"/>
          <w:szCs w:val="24"/>
          <w:highlight w:val="none"/>
        </w:rPr>
      </w:pPr>
    </w:p>
    <w:p>
      <w:pPr>
        <w:widowControl/>
        <w:ind w:firstLine="0" w:firstLineChars="0"/>
        <w:jc w:val="center"/>
        <w:rPr>
          <w:rFonts w:hint="default" w:ascii="Times New Roman" w:hAnsi="Times New Roman" w:eastAsia="宋体" w:cs="Times New Roman"/>
          <w:b/>
          <w:bCs/>
          <w:color w:val="000000"/>
          <w:kern w:val="0"/>
          <w:sz w:val="44"/>
          <w:szCs w:val="44"/>
          <w:highlight w:val="none"/>
          <w:lang w:val="en-US" w:eastAsia="zh-CN" w:bidi="ar-SA"/>
        </w:rPr>
      </w:pPr>
      <w:r>
        <w:rPr>
          <w:rFonts w:hint="eastAsia" w:ascii="Times New Roman" w:hAnsi="Times New Roman" w:eastAsia="宋体" w:cs="Times New Roman"/>
          <w:b/>
          <w:bCs/>
          <w:color w:val="000000"/>
          <w:kern w:val="0"/>
          <w:sz w:val="44"/>
          <w:szCs w:val="44"/>
          <w:highlight w:val="none"/>
          <w:lang w:val="en-US" w:eastAsia="zh-CN" w:bidi="ar-SA"/>
        </w:rPr>
        <w:t>阜阳处大棚维修工程劳务</w:t>
      </w:r>
      <w:r>
        <w:rPr>
          <w:rFonts w:hint="default" w:ascii="Times New Roman" w:hAnsi="Times New Roman" w:eastAsia="宋体" w:cs="Times New Roman"/>
          <w:b/>
          <w:bCs/>
          <w:color w:val="000000"/>
          <w:kern w:val="0"/>
          <w:sz w:val="44"/>
          <w:szCs w:val="44"/>
          <w:highlight w:val="none"/>
          <w:lang w:val="en-US" w:eastAsia="zh-CN" w:bidi="ar-SA"/>
        </w:rPr>
        <w:t>询比</w:t>
      </w:r>
    </w:p>
    <w:p>
      <w:pPr>
        <w:spacing w:line="540" w:lineRule="exact"/>
        <w:ind w:firstLine="420"/>
        <w:rPr>
          <w:rFonts w:hint="default" w:ascii="Times New Roman" w:hAnsi="Times New Roman" w:cs="Times New Roman"/>
          <w:szCs w:val="21"/>
          <w:highlight w:val="none"/>
        </w:rPr>
      </w:pPr>
    </w:p>
    <w:p>
      <w:pPr>
        <w:pStyle w:val="7"/>
        <w:rPr>
          <w:rFonts w:hint="default" w:ascii="Times New Roman" w:hAnsi="Times New Roman" w:cs="Times New Roman"/>
          <w:szCs w:val="21"/>
          <w:highlight w:val="none"/>
        </w:rPr>
      </w:pPr>
    </w:p>
    <w:p>
      <w:pPr>
        <w:pStyle w:val="7"/>
        <w:rPr>
          <w:rFonts w:hint="default" w:ascii="Times New Roman" w:hAnsi="Times New Roman" w:cs="Times New Roman"/>
          <w:szCs w:val="21"/>
          <w:highlight w:val="none"/>
        </w:rPr>
      </w:pPr>
    </w:p>
    <w:p>
      <w:pPr>
        <w:pStyle w:val="7"/>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ind w:firstLine="0" w:firstLineChars="0"/>
        <w:jc w:val="center"/>
        <w:rPr>
          <w:rFonts w:hint="default" w:ascii="Times New Roman" w:hAnsi="Times New Roman" w:eastAsia="黑体" w:cs="Times New Roman"/>
          <w:sz w:val="72"/>
          <w:szCs w:val="72"/>
          <w:highlight w:val="none"/>
        </w:rPr>
      </w:pPr>
      <w:r>
        <w:rPr>
          <w:rFonts w:hint="default" w:ascii="Times New Roman" w:hAnsi="Times New Roman" w:eastAsia="黑体" w:cs="Times New Roman"/>
          <w:sz w:val="72"/>
          <w:szCs w:val="72"/>
          <w:highlight w:val="none"/>
          <w:lang w:val="en-US" w:eastAsia="zh-CN"/>
        </w:rPr>
        <w:t xml:space="preserve">询  比  </w:t>
      </w:r>
      <w:r>
        <w:rPr>
          <w:rFonts w:hint="default" w:ascii="Times New Roman" w:hAnsi="Times New Roman" w:eastAsia="黑体" w:cs="Times New Roman"/>
          <w:sz w:val="72"/>
          <w:szCs w:val="72"/>
          <w:highlight w:val="none"/>
        </w:rPr>
        <w:t>文</w:t>
      </w:r>
      <w:r>
        <w:rPr>
          <w:rFonts w:hint="default" w:ascii="Times New Roman" w:hAnsi="Times New Roman" w:eastAsia="黑体" w:cs="Times New Roman"/>
          <w:sz w:val="72"/>
          <w:szCs w:val="72"/>
          <w:highlight w:val="none"/>
          <w:lang w:val="en-US" w:eastAsia="zh-CN"/>
        </w:rPr>
        <w:t xml:space="preserve">  </w:t>
      </w:r>
      <w:r>
        <w:rPr>
          <w:rFonts w:hint="default" w:ascii="Times New Roman" w:hAnsi="Times New Roman" w:eastAsia="黑体" w:cs="Times New Roman"/>
          <w:sz w:val="72"/>
          <w:szCs w:val="72"/>
          <w:highlight w:val="none"/>
        </w:rPr>
        <w:t>件</w:t>
      </w: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420"/>
        <w:rPr>
          <w:rFonts w:hint="default" w:ascii="Times New Roman" w:hAnsi="Times New Roman" w:cs="Times New Roman"/>
          <w:szCs w:val="21"/>
          <w:highlight w:val="none"/>
        </w:rPr>
      </w:pPr>
    </w:p>
    <w:p>
      <w:pPr>
        <w:spacing w:line="540" w:lineRule="exact"/>
        <w:ind w:firstLine="640"/>
        <w:rPr>
          <w:rFonts w:hint="default" w:ascii="Times New Roman" w:hAnsi="Times New Roman" w:eastAsia="黑体" w:cs="Times New Roman"/>
          <w:sz w:val="32"/>
          <w:szCs w:val="32"/>
          <w:highlight w:val="none"/>
        </w:rPr>
      </w:pPr>
    </w:p>
    <w:p>
      <w:pPr>
        <w:spacing w:line="540" w:lineRule="exact"/>
        <w:ind w:left="1896" w:leftChars="903" w:firstLine="0" w:firstLineChars="0"/>
        <w:rPr>
          <w:rFonts w:hint="default" w:ascii="Times New Roman" w:hAnsi="Times New Roman" w:cs="Times New Roman"/>
          <w:szCs w:val="21"/>
          <w:highlight w:val="none"/>
        </w:rPr>
      </w:pPr>
    </w:p>
    <w:p>
      <w:pPr>
        <w:keepNext w:val="0"/>
        <w:keepLines w:val="0"/>
        <w:pageBreakBefore w:val="0"/>
        <w:widowControl w:val="0"/>
        <w:kinsoku/>
        <w:wordWrap/>
        <w:overflowPunct/>
        <w:topLinePunct w:val="0"/>
        <w:autoSpaceDE/>
        <w:autoSpaceDN/>
        <w:bidi w:val="0"/>
        <w:adjustRightInd/>
        <w:snapToGrid w:val="0"/>
        <w:spacing w:line="240" w:lineRule="auto"/>
        <w:ind w:left="1896" w:leftChars="903" w:firstLine="0" w:firstLineChars="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采 购 </w:t>
      </w:r>
      <w:r>
        <w:rPr>
          <w:rFonts w:hint="default" w:ascii="Times New Roman" w:hAnsi="Times New Roman" w:eastAsia="黑体" w:cs="Times New Roman"/>
          <w:sz w:val="32"/>
          <w:szCs w:val="32"/>
          <w:highlight w:val="none"/>
        </w:rPr>
        <w:t>人：</w:t>
      </w:r>
      <w:r>
        <w:rPr>
          <w:rFonts w:hint="eastAsia" w:ascii="Times New Roman" w:hAnsi="Times New Roman" w:eastAsia="黑体" w:cs="Times New Roman"/>
          <w:sz w:val="32"/>
          <w:szCs w:val="32"/>
          <w:highlight w:val="none"/>
          <w:u w:val="single"/>
          <w:lang w:val="en-US" w:eastAsia="zh-CN"/>
        </w:rPr>
        <w:t>安徽省经工建设集团有限公司</w:t>
      </w:r>
    </w:p>
    <w:p>
      <w:pPr>
        <w:keepNext w:val="0"/>
        <w:keepLines w:val="0"/>
        <w:pageBreakBefore w:val="0"/>
        <w:widowControl w:val="0"/>
        <w:kinsoku/>
        <w:wordWrap/>
        <w:overflowPunct/>
        <w:topLinePunct w:val="0"/>
        <w:autoSpaceDE/>
        <w:autoSpaceDN/>
        <w:bidi w:val="0"/>
        <w:adjustRightInd/>
        <w:snapToGrid w:val="0"/>
        <w:spacing w:line="240" w:lineRule="auto"/>
        <w:ind w:left="1896" w:leftChars="903" w:firstLine="0" w:firstLineChars="0"/>
        <w:textAlignment w:val="auto"/>
        <w:rPr>
          <w:rFonts w:hint="default" w:ascii="Times New Roman" w:hAnsi="Times New Roman" w:cs="Times New Roman" w:eastAsiaTheme="minorEastAsia"/>
          <w:sz w:val="32"/>
          <w:szCs w:val="32"/>
          <w:highlight w:val="none"/>
          <w:lang w:val="en-US" w:eastAsia="zh-CN"/>
        </w:rPr>
      </w:pPr>
      <w:r>
        <w:rPr>
          <w:rFonts w:hint="default" w:ascii="Times New Roman" w:hAnsi="Times New Roman"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1896" w:leftChars="903"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日</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期</w:t>
      </w:r>
      <w:r>
        <w:rPr>
          <w:rFonts w:hint="default"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lang w:val="en-US" w:eastAsia="zh-CN"/>
        </w:rPr>
        <w:t>2022</w:t>
      </w:r>
      <w:r>
        <w:rPr>
          <w:rFonts w:hint="default" w:ascii="Times New Roman" w:hAnsi="Times New Roman" w:cs="Times New Roman"/>
          <w:sz w:val="32"/>
          <w:szCs w:val="32"/>
          <w:highlight w:val="none"/>
        </w:rPr>
        <w:t>年</w:t>
      </w:r>
      <w:r>
        <w:rPr>
          <w:rFonts w:hint="default"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3</w:t>
      </w:r>
      <w:r>
        <w:rPr>
          <w:rFonts w:hint="default" w:ascii="Times New Roman" w:hAnsi="Times New Roman" w:cs="Times New Roman"/>
          <w:sz w:val="32"/>
          <w:szCs w:val="32"/>
          <w:highlight w:val="none"/>
        </w:rPr>
        <w:t>月</w:t>
      </w:r>
    </w:p>
    <w:p>
      <w:pPr>
        <w:ind w:left="1896" w:leftChars="903" w:firstLine="0" w:firstLineChars="0"/>
        <w:rPr>
          <w:rFonts w:hint="default" w:ascii="Times New Roman" w:hAnsi="Times New Roman" w:eastAsia="宋体" w:cs="Times New Roman"/>
          <w:sz w:val="24"/>
          <w:szCs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numPr>
          <w:ilvl w:val="0"/>
          <w:numId w:val="3"/>
        </w:numPr>
        <w:spacing w:before="240" w:after="240"/>
        <w:rPr>
          <w:rFonts w:hint="default" w:ascii="Times New Roman" w:hAnsi="Times New Roman" w:eastAsia="宋体" w:cs="Times New Roman"/>
          <w:color w:val="auto"/>
          <w:highlight w:val="none"/>
        </w:rPr>
      </w:pPr>
      <w:bookmarkStart w:id="0" w:name="_Toc19396_WPSOffice_Level1"/>
      <w:r>
        <w:rPr>
          <w:rFonts w:hint="default" w:ascii="Times New Roman" w:hAnsi="Times New Roman" w:eastAsia="宋体" w:cs="Times New Roman"/>
          <w:color w:val="auto"/>
          <w:highlight w:val="none"/>
        </w:rPr>
        <w:t>采购</w:t>
      </w:r>
      <w:bookmarkEnd w:id="0"/>
      <w:r>
        <w:rPr>
          <w:rFonts w:hint="eastAsia" w:ascii="Times New Roman" w:hAnsi="Times New Roman" w:eastAsia="宋体" w:cs="Times New Roman"/>
          <w:color w:val="auto"/>
          <w:highlight w:val="none"/>
          <w:lang w:val="en-US" w:eastAsia="zh-CN"/>
        </w:rPr>
        <w:t>公告</w:t>
      </w:r>
    </w:p>
    <w:p>
      <w:pPr>
        <w:keepNext/>
        <w:keepLines/>
        <w:pageBreakBefore w:val="0"/>
        <w:widowControl w:val="0"/>
        <w:numPr>
          <w:ilvl w:val="0"/>
          <w:numId w:val="4"/>
        </w:numPr>
        <w:kinsoku/>
        <w:wordWrap/>
        <w:overflowPunct/>
        <w:topLinePunct w:val="0"/>
        <w:autoSpaceDE/>
        <w:autoSpaceDN/>
        <w:bidi w:val="0"/>
        <w:adjustRightInd/>
        <w:snapToGrid w:val="0"/>
        <w:spacing w:before="120" w:after="120" w:line="240" w:lineRule="auto"/>
        <w:ind w:left="20" w:leftChars="0" w:firstLine="403" w:firstLineChars="0"/>
        <w:jc w:val="both"/>
        <w:textAlignment w:val="auto"/>
        <w:outlineLvl w:val="1"/>
        <w:rPr>
          <w:rFonts w:hint="default" w:ascii="Times New Roman" w:hAnsi="Times New Roman" w:eastAsia="黑体" w:cs="Times New Roman"/>
          <w:b/>
          <w:bCs w:val="0"/>
          <w:color w:val="000000"/>
          <w:kern w:val="2"/>
          <w:sz w:val="22"/>
          <w:szCs w:val="15"/>
          <w:highlight w:val="none"/>
          <w:lang w:val="en-US" w:eastAsia="zh-CN" w:bidi="ar-SA"/>
        </w:rPr>
      </w:pPr>
      <w:r>
        <w:rPr>
          <w:rFonts w:hint="default" w:ascii="Times New Roman" w:hAnsi="Times New Roman" w:eastAsia="黑体" w:cs="Times New Roman"/>
          <w:b/>
          <w:bCs w:val="0"/>
          <w:color w:val="000000"/>
          <w:kern w:val="2"/>
          <w:sz w:val="22"/>
          <w:szCs w:val="15"/>
          <w:highlight w:val="none"/>
          <w:lang w:val="en-US" w:eastAsia="zh-CN" w:bidi="ar-SA"/>
        </w:rPr>
        <w:t>项目简介</w:t>
      </w:r>
    </w:p>
    <w:p>
      <w:pPr>
        <w:snapToGrid w:val="0"/>
        <w:spacing w:line="440" w:lineRule="exact"/>
        <w:ind w:firstLine="420" w:firstLineChars="200"/>
        <w:rPr>
          <w:rFonts w:hint="default" w:ascii="Times New Roman" w:hAnsi="Times New Roman" w:cs="Times New Roman" w:eastAsiaTheme="minorEastAsia"/>
          <w:color w:val="auto"/>
          <w:sz w:val="21"/>
          <w:szCs w:val="22"/>
          <w:highlight w:val="none"/>
          <w:u w:val="single"/>
          <w:lang w:val="en-US" w:eastAsia="zh-CN"/>
        </w:rPr>
      </w:pPr>
      <w:r>
        <w:rPr>
          <w:rFonts w:hint="default" w:ascii="Times New Roman" w:hAnsi="Times New Roman" w:cs="Times New Roman"/>
          <w:color w:val="auto"/>
          <w:sz w:val="21"/>
          <w:szCs w:val="22"/>
          <w:highlight w:val="none"/>
        </w:rPr>
        <w:t>1.1 项目名称：</w:t>
      </w:r>
      <w:r>
        <w:rPr>
          <w:rFonts w:hint="eastAsia" w:ascii="Times New Roman" w:hAnsi="Times New Roman" w:cs="Times New Roman"/>
          <w:color w:val="auto"/>
          <w:sz w:val="21"/>
          <w:szCs w:val="22"/>
          <w:highlight w:val="none"/>
          <w:u w:val="single"/>
          <w:lang w:eastAsia="zh-CN"/>
        </w:rPr>
        <w:t>阜阳处大棚维修工程</w:t>
      </w:r>
      <w:r>
        <w:rPr>
          <w:rFonts w:hint="eastAsia" w:ascii="Times New Roman" w:hAnsi="Times New Roman" w:cs="Times New Roman"/>
          <w:color w:val="auto"/>
          <w:sz w:val="21"/>
          <w:szCs w:val="22"/>
          <w:highlight w:val="none"/>
          <w:u w:val="single"/>
          <w:lang w:val="en-US" w:eastAsia="zh-CN"/>
        </w:rPr>
        <w:t>项目劳务</w:t>
      </w:r>
      <w:r>
        <w:rPr>
          <w:rFonts w:hint="default" w:ascii="Times New Roman" w:hAnsi="Times New Roman" w:cs="Times New Roman"/>
          <w:color w:val="auto"/>
          <w:sz w:val="21"/>
          <w:szCs w:val="22"/>
          <w:highlight w:val="none"/>
          <w:u w:val="single"/>
          <w:lang w:val="en-US" w:eastAsia="zh-CN"/>
        </w:rPr>
        <w:t xml:space="preserve"> </w:t>
      </w:r>
    </w:p>
    <w:p>
      <w:pPr>
        <w:snapToGrid w:val="0"/>
        <w:spacing w:line="440" w:lineRule="exact"/>
        <w:ind w:firstLine="420" w:firstLineChars="200"/>
        <w:rPr>
          <w:rFonts w:hint="default" w:ascii="Times New Roman" w:hAnsi="Times New Roman" w:cs="Times New Roman"/>
          <w:color w:val="auto"/>
          <w:sz w:val="21"/>
          <w:szCs w:val="22"/>
          <w:highlight w:val="none"/>
          <w:lang w:val="en-US"/>
        </w:rPr>
      </w:pPr>
      <w:r>
        <w:rPr>
          <w:rFonts w:hint="default" w:ascii="Times New Roman" w:hAnsi="Times New Roman" w:cs="Times New Roman"/>
          <w:color w:val="auto"/>
          <w:sz w:val="21"/>
          <w:szCs w:val="22"/>
          <w:highlight w:val="none"/>
        </w:rPr>
        <w:t>1.2 采 购 人：</w:t>
      </w:r>
      <w:r>
        <w:rPr>
          <w:rFonts w:hint="eastAsia" w:ascii="Times New Roman" w:hAnsi="Times New Roman" w:cs="Times New Roman"/>
          <w:color w:val="auto"/>
          <w:sz w:val="21"/>
          <w:szCs w:val="22"/>
          <w:highlight w:val="none"/>
          <w:u w:val="single"/>
          <w:lang w:val="en-US" w:eastAsia="zh-CN"/>
        </w:rPr>
        <w:t>安徽省经工建设集团有限公司</w:t>
      </w:r>
    </w:p>
    <w:p>
      <w:pPr>
        <w:ind w:firstLine="420" w:firstLineChars="200"/>
        <w:rPr>
          <w:rFonts w:hint="default" w:ascii="Times New Roman" w:hAnsi="Times New Roman" w:eastAsia="宋体" w:cs="Times New Roman"/>
          <w:b/>
          <w:bCs/>
          <w:color w:val="auto"/>
          <w:sz w:val="21"/>
          <w:szCs w:val="22"/>
          <w:highlight w:val="none"/>
          <w:lang w:val="en-US" w:eastAsia="zh-CN"/>
        </w:rPr>
      </w:pPr>
      <w:r>
        <w:rPr>
          <w:rFonts w:hint="default" w:ascii="Times New Roman" w:hAnsi="Times New Roman" w:cs="Times New Roman"/>
          <w:color w:val="auto"/>
          <w:sz w:val="21"/>
          <w:szCs w:val="22"/>
          <w:highlight w:val="none"/>
        </w:rPr>
        <w:t xml:space="preserve">1.3 </w:t>
      </w:r>
      <w:r>
        <w:rPr>
          <w:rFonts w:hint="default" w:ascii="Times New Roman" w:hAnsi="Times New Roman" w:cs="Times New Roman"/>
          <w:color w:val="auto"/>
          <w:sz w:val="21"/>
          <w:szCs w:val="22"/>
          <w:highlight w:val="none"/>
          <w:lang w:val="en-US" w:eastAsia="zh-CN"/>
        </w:rPr>
        <w:t>项目概况</w:t>
      </w:r>
      <w:r>
        <w:rPr>
          <w:rFonts w:hint="default" w:ascii="Times New Roman" w:hAnsi="Times New Roman" w:cs="Times New Roman"/>
          <w:color w:val="auto"/>
          <w:sz w:val="21"/>
          <w:szCs w:val="22"/>
          <w:highlight w:val="none"/>
        </w:rPr>
        <w:t>：</w:t>
      </w:r>
      <w:r>
        <w:rPr>
          <w:rFonts w:hint="eastAsia" w:ascii="Times New Roman" w:hAnsi="Times New Roman" w:cs="Times New Roman"/>
          <w:color w:val="auto"/>
          <w:sz w:val="21"/>
          <w:szCs w:val="22"/>
          <w:highlight w:val="none"/>
          <w:u w:val="single"/>
          <w:lang w:eastAsia="zh-CN"/>
        </w:rPr>
        <w:t>阜阳处大棚维修工程</w:t>
      </w:r>
      <w:r>
        <w:rPr>
          <w:rFonts w:hint="eastAsia" w:ascii="Times New Roman" w:hAnsi="Times New Roman" w:cs="Times New Roman"/>
          <w:color w:val="auto"/>
          <w:sz w:val="21"/>
          <w:szCs w:val="22"/>
          <w:highlight w:val="none"/>
          <w:u w:val="single"/>
          <w:lang w:val="en-US" w:eastAsia="zh-CN"/>
        </w:rPr>
        <w:t>涉及南照收费站、袁寨收费站、阜阳东收费站、毛集收费站等收费站点收费大棚维修工程</w:t>
      </w:r>
    </w:p>
    <w:p>
      <w:pPr>
        <w:keepNext/>
        <w:keepLines/>
        <w:pageBreakBefore w:val="0"/>
        <w:widowControl w:val="0"/>
        <w:numPr>
          <w:ilvl w:val="0"/>
          <w:numId w:val="4"/>
        </w:numPr>
        <w:kinsoku/>
        <w:wordWrap/>
        <w:overflowPunct/>
        <w:topLinePunct w:val="0"/>
        <w:autoSpaceDE/>
        <w:autoSpaceDN/>
        <w:bidi w:val="0"/>
        <w:adjustRightInd/>
        <w:snapToGrid w:val="0"/>
        <w:spacing w:before="120" w:after="120" w:line="240" w:lineRule="auto"/>
        <w:ind w:left="20" w:leftChars="0" w:firstLine="403" w:firstLineChars="0"/>
        <w:jc w:val="both"/>
        <w:textAlignment w:val="auto"/>
        <w:outlineLvl w:val="1"/>
        <w:rPr>
          <w:rFonts w:hint="default" w:ascii="Times New Roman" w:hAnsi="Times New Roman" w:eastAsia="黑体" w:cs="Times New Roman"/>
          <w:b/>
          <w:bCs w:val="0"/>
          <w:color w:val="000000"/>
          <w:kern w:val="2"/>
          <w:sz w:val="22"/>
          <w:szCs w:val="15"/>
          <w:highlight w:val="none"/>
          <w:lang w:val="en-US" w:eastAsia="zh-CN" w:bidi="ar-SA"/>
        </w:rPr>
      </w:pPr>
      <w:r>
        <w:rPr>
          <w:rFonts w:hint="default" w:ascii="Times New Roman" w:hAnsi="Times New Roman" w:eastAsia="黑体" w:cs="Times New Roman"/>
          <w:b/>
          <w:bCs w:val="0"/>
          <w:color w:val="000000"/>
          <w:kern w:val="2"/>
          <w:sz w:val="22"/>
          <w:szCs w:val="15"/>
          <w:highlight w:val="none"/>
          <w:lang w:val="en-US" w:eastAsia="zh-CN" w:bidi="ar-SA"/>
        </w:rPr>
        <w:t>采购说明</w:t>
      </w:r>
    </w:p>
    <w:p>
      <w:pPr>
        <w:snapToGrid w:val="0"/>
        <w:spacing w:line="440" w:lineRule="exact"/>
        <w:ind w:firstLine="420" w:firstLineChars="200"/>
        <w:rPr>
          <w:rFonts w:hint="default" w:ascii="Times New Roman" w:hAnsi="Times New Roman" w:cs="Times New Roman"/>
          <w:color w:val="auto"/>
          <w:sz w:val="21"/>
          <w:szCs w:val="22"/>
          <w:highlight w:val="none"/>
          <w:u w:val="single"/>
        </w:rPr>
      </w:pPr>
      <w:r>
        <w:rPr>
          <w:rFonts w:hint="default" w:ascii="Times New Roman" w:hAnsi="Times New Roman" w:cs="Times New Roman"/>
          <w:color w:val="auto"/>
          <w:sz w:val="21"/>
          <w:szCs w:val="22"/>
          <w:highlight w:val="none"/>
        </w:rPr>
        <w:t>2.1 采购方式：</w:t>
      </w:r>
      <w:r>
        <w:rPr>
          <w:rFonts w:hint="default" w:ascii="Times New Roman" w:hAnsi="Times New Roman" w:cs="Times New Roman"/>
          <w:color w:val="auto"/>
          <w:sz w:val="21"/>
          <w:szCs w:val="22"/>
          <w:highlight w:val="none"/>
          <w:u w:val="single"/>
          <w:lang w:val="en-US" w:eastAsia="zh-CN"/>
        </w:rPr>
        <w:t>询比采购</w:t>
      </w:r>
    </w:p>
    <w:p>
      <w:pPr>
        <w:snapToGrid w:val="0"/>
        <w:spacing w:line="440" w:lineRule="exact"/>
        <w:ind w:firstLine="420" w:firstLineChars="200"/>
        <w:rPr>
          <w:rFonts w:hint="default" w:ascii="Times New Roman" w:hAnsi="Times New Roman" w:cs="Times New Roman" w:eastAsiaTheme="minorEastAsia"/>
          <w:color w:val="auto"/>
          <w:sz w:val="21"/>
          <w:szCs w:val="22"/>
          <w:highlight w:val="none"/>
          <w:u w:val="single"/>
          <w:lang w:eastAsia="zh-CN"/>
        </w:rPr>
      </w:pPr>
      <w:r>
        <w:rPr>
          <w:rFonts w:hint="default" w:ascii="Times New Roman" w:hAnsi="Times New Roman" w:cs="Times New Roman"/>
          <w:color w:val="auto"/>
          <w:sz w:val="21"/>
          <w:szCs w:val="22"/>
          <w:highlight w:val="none"/>
        </w:rPr>
        <w:t>2.2 资金来源</w:t>
      </w:r>
      <w:r>
        <w:rPr>
          <w:rFonts w:hint="default" w:ascii="Times New Roman" w:hAnsi="Times New Roman" w:cs="Times New Roman"/>
          <w:color w:val="auto"/>
          <w:sz w:val="21"/>
          <w:szCs w:val="22"/>
          <w:highlight w:val="none"/>
          <w:lang w:val="en-US" w:eastAsia="zh-CN"/>
        </w:rPr>
        <w:t>及比例</w:t>
      </w:r>
      <w:r>
        <w:rPr>
          <w:rFonts w:hint="default" w:ascii="Times New Roman" w:hAnsi="Times New Roman" w:cs="Times New Roman"/>
          <w:color w:val="auto"/>
          <w:sz w:val="21"/>
          <w:szCs w:val="22"/>
          <w:highlight w:val="none"/>
        </w:rPr>
        <w:t>：</w:t>
      </w:r>
      <w:r>
        <w:rPr>
          <w:rFonts w:hint="default" w:ascii="Times New Roman" w:hAnsi="Times New Roman" w:cs="Times New Roman"/>
          <w:color w:val="auto"/>
          <w:sz w:val="21"/>
          <w:szCs w:val="22"/>
          <w:highlight w:val="none"/>
          <w:u w:val="single"/>
          <w:lang w:val="en-US" w:eastAsia="zh-CN"/>
        </w:rPr>
        <w:t>企业自筹</w:t>
      </w:r>
    </w:p>
    <w:p>
      <w:pPr>
        <w:snapToGrid w:val="0"/>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 xml:space="preserve">2.3 </w:t>
      </w:r>
      <w:r>
        <w:rPr>
          <w:rFonts w:hint="eastAsia" w:ascii="Times New Roman" w:hAnsi="Times New Roman" w:cs="Times New Roman"/>
          <w:color w:val="auto"/>
          <w:sz w:val="21"/>
          <w:szCs w:val="22"/>
          <w:highlight w:val="none"/>
          <w:lang w:val="en-US" w:eastAsia="zh-CN"/>
        </w:rPr>
        <w:t>采购范围：</w:t>
      </w:r>
      <w:r>
        <w:rPr>
          <w:rFonts w:hint="default" w:ascii="Times New Roman" w:hAnsi="Times New Roman" w:cs="Times New Roman"/>
          <w:color w:val="auto"/>
          <w:sz w:val="21"/>
          <w:szCs w:val="22"/>
          <w:highlight w:val="none"/>
          <w:u w:val="none"/>
          <w:lang w:val="en-US" w:eastAsia="zh-CN"/>
        </w:rPr>
        <w:t xml:space="preserve"> </w:t>
      </w:r>
      <w:r>
        <w:rPr>
          <w:rFonts w:hint="eastAsia" w:ascii="Times New Roman" w:hAnsi="Times New Roman" w:cs="Times New Roman"/>
          <w:color w:val="auto"/>
          <w:sz w:val="21"/>
          <w:szCs w:val="22"/>
          <w:highlight w:val="none"/>
          <w:u w:val="single"/>
          <w:lang w:eastAsia="zh-CN"/>
        </w:rPr>
        <w:t>阜阳处大棚维修工程</w:t>
      </w:r>
      <w:r>
        <w:rPr>
          <w:rFonts w:hint="eastAsia" w:ascii="Times New Roman" w:hAnsi="Times New Roman" w:cs="Times New Roman"/>
          <w:color w:val="auto"/>
          <w:sz w:val="21"/>
          <w:szCs w:val="22"/>
          <w:highlight w:val="none"/>
          <w:u w:val="single"/>
          <w:lang w:val="en-US" w:eastAsia="zh-CN"/>
        </w:rPr>
        <w:t>涉及南照收费站、袁寨收费站、阜阳东收费站、毛集收费站等收费站点收费大棚维修工程。</w:t>
      </w:r>
    </w:p>
    <w:p>
      <w:p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eastAsia" w:ascii="Times New Roman" w:hAnsi="Times New Roman" w:cs="Times New Roman"/>
          <w:color w:val="auto"/>
          <w:sz w:val="21"/>
          <w:szCs w:val="22"/>
          <w:highlight w:val="none"/>
          <w:lang w:val="en-US" w:eastAsia="zh-CN"/>
        </w:rPr>
        <w:t xml:space="preserve">2.4 </w:t>
      </w:r>
      <w:r>
        <w:rPr>
          <w:rFonts w:hint="default" w:ascii="Times New Roman" w:hAnsi="Times New Roman" w:cs="Times New Roman"/>
          <w:color w:val="auto"/>
          <w:sz w:val="21"/>
          <w:szCs w:val="22"/>
          <w:highlight w:val="none"/>
          <w:lang w:val="en-US" w:eastAsia="zh-CN"/>
        </w:rPr>
        <w:t>合同包划分：</w:t>
      </w:r>
      <w:r>
        <w:rPr>
          <w:rFonts w:hint="eastAsia" w:ascii="Times New Roman" w:hAnsi="Times New Roman" w:cs="Times New Roman"/>
          <w:color w:val="auto"/>
          <w:sz w:val="21"/>
          <w:szCs w:val="22"/>
          <w:highlight w:val="none"/>
          <w:lang w:val="en-US" w:eastAsia="zh-CN"/>
        </w:rPr>
        <w:t>/</w:t>
      </w:r>
    </w:p>
    <w:p>
      <w:pPr>
        <w:snapToGrid w:val="0"/>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5</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最高限价：</w:t>
      </w:r>
      <w:r>
        <w:rPr>
          <w:rFonts w:hint="eastAsia" w:ascii="Times New Roman" w:hAnsi="Times New Roman" w:cs="Times New Roman"/>
          <w:color w:val="auto"/>
          <w:sz w:val="21"/>
          <w:szCs w:val="22"/>
          <w:highlight w:val="none"/>
          <w:u w:val="single"/>
          <w:lang w:val="en-US" w:eastAsia="zh-CN"/>
        </w:rPr>
        <w:t>496260元</w:t>
      </w:r>
      <w:r>
        <w:rPr>
          <w:rFonts w:hint="default" w:ascii="Times New Roman" w:hAnsi="Times New Roman" w:cs="Times New Roman"/>
          <w:color w:val="auto"/>
          <w:sz w:val="21"/>
          <w:szCs w:val="22"/>
          <w:highlight w:val="none"/>
        </w:rPr>
        <w:tab/>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lang w:val="en-US" w:eastAsia="zh-CN"/>
        </w:rPr>
        <w:t xml:space="preserve"> 计划工期：</w:t>
      </w:r>
      <w:r>
        <w:rPr>
          <w:rFonts w:hint="default" w:ascii="Times New Roman" w:hAnsi="Times New Roman" w:cs="Times New Roman"/>
          <w:color w:val="auto"/>
          <w:sz w:val="21"/>
          <w:szCs w:val="22"/>
          <w:highlight w:val="none"/>
          <w:u w:val="single"/>
          <w:lang w:val="en-US" w:eastAsia="zh-CN"/>
        </w:rPr>
        <w:t>工期</w:t>
      </w:r>
      <w:r>
        <w:rPr>
          <w:rFonts w:hint="eastAsia" w:ascii="Times New Roman" w:hAnsi="Times New Roman" w:cs="Times New Roman"/>
          <w:color w:val="auto"/>
          <w:sz w:val="21"/>
          <w:szCs w:val="22"/>
          <w:highlight w:val="none"/>
          <w:u w:val="single"/>
          <w:lang w:val="en-US" w:eastAsia="zh-CN"/>
        </w:rPr>
        <w:t>2个月</w:t>
      </w:r>
      <w:r>
        <w:rPr>
          <w:rFonts w:hint="default" w:ascii="Times New Roman" w:hAnsi="Times New Roman" w:cs="Times New Roman"/>
          <w:color w:val="auto"/>
          <w:sz w:val="21"/>
          <w:szCs w:val="22"/>
          <w:highlight w:val="none"/>
          <w:u w:val="single"/>
          <w:lang w:val="en-US" w:eastAsia="zh-CN"/>
        </w:rPr>
        <w:t xml:space="preserve">  。</w:t>
      </w:r>
    </w:p>
    <w:p>
      <w:pPr>
        <w:keepNext/>
        <w:keepLines/>
        <w:pageBreakBefore w:val="0"/>
        <w:widowControl w:val="0"/>
        <w:numPr>
          <w:ilvl w:val="0"/>
          <w:numId w:val="4"/>
        </w:numPr>
        <w:kinsoku/>
        <w:wordWrap/>
        <w:overflowPunct/>
        <w:topLinePunct w:val="0"/>
        <w:autoSpaceDE/>
        <w:autoSpaceDN/>
        <w:bidi w:val="0"/>
        <w:adjustRightInd/>
        <w:snapToGrid w:val="0"/>
        <w:spacing w:before="120" w:after="120" w:line="240" w:lineRule="auto"/>
        <w:ind w:left="20" w:leftChars="0" w:firstLine="403" w:firstLineChars="0"/>
        <w:jc w:val="both"/>
        <w:textAlignment w:val="auto"/>
        <w:outlineLvl w:val="1"/>
        <w:rPr>
          <w:rFonts w:hint="default" w:ascii="Times New Roman" w:hAnsi="Times New Roman" w:eastAsia="黑体" w:cs="Times New Roman"/>
          <w:b/>
          <w:bCs w:val="0"/>
          <w:color w:val="000000"/>
          <w:kern w:val="2"/>
          <w:sz w:val="22"/>
          <w:szCs w:val="15"/>
          <w:highlight w:val="none"/>
          <w:lang w:val="en-US" w:eastAsia="zh-CN" w:bidi="ar-SA"/>
        </w:rPr>
      </w:pPr>
      <w:r>
        <w:rPr>
          <w:rFonts w:hint="default" w:ascii="Times New Roman" w:hAnsi="Times New Roman" w:eastAsia="黑体" w:cs="Times New Roman"/>
          <w:b/>
          <w:bCs w:val="0"/>
          <w:color w:val="000000"/>
          <w:kern w:val="2"/>
          <w:sz w:val="22"/>
          <w:szCs w:val="15"/>
          <w:highlight w:val="none"/>
          <w:lang w:val="en-US" w:eastAsia="zh-CN" w:bidi="ar-SA"/>
        </w:rPr>
        <w:t>供应商资格条件</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rPr>
        <w:t xml:space="preserve">3.1 </w:t>
      </w:r>
      <w:r>
        <w:rPr>
          <w:rFonts w:hint="default" w:ascii="Times New Roman" w:hAnsi="Times New Roman" w:cs="Times New Roman"/>
          <w:color w:val="auto"/>
          <w:sz w:val="21"/>
          <w:szCs w:val="22"/>
          <w:highlight w:val="none"/>
          <w:lang w:val="en-US" w:eastAsia="zh-CN"/>
        </w:rPr>
        <w:t>本次采购要求供应商须</w:t>
      </w:r>
      <w:r>
        <w:rPr>
          <w:rFonts w:hint="eastAsia" w:ascii="Times New Roman" w:hAnsi="Times New Roman" w:cs="Times New Roman"/>
          <w:color w:val="auto"/>
          <w:sz w:val="21"/>
          <w:szCs w:val="22"/>
          <w:highlight w:val="none"/>
          <w:lang w:val="en-US" w:eastAsia="zh-CN"/>
        </w:rPr>
        <w:t>同时</w:t>
      </w:r>
      <w:r>
        <w:rPr>
          <w:rFonts w:hint="default" w:ascii="Times New Roman" w:hAnsi="Times New Roman" w:cs="Times New Roman"/>
          <w:color w:val="auto"/>
          <w:sz w:val="21"/>
          <w:szCs w:val="22"/>
          <w:highlight w:val="none"/>
          <w:lang w:val="en-US" w:eastAsia="zh-CN"/>
        </w:rPr>
        <w:t>具备：</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（1）资质最低要求：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①具备独立法人资格，持有有效的营业执照；</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②</w:t>
      </w:r>
      <w:r>
        <w:rPr>
          <w:rFonts w:hint="eastAsia" w:ascii="Times New Roman" w:hAnsi="Times New Roman" w:cs="Times New Roman"/>
          <w:color w:val="auto"/>
          <w:sz w:val="21"/>
          <w:szCs w:val="22"/>
          <w:highlight w:val="none"/>
          <w:u w:val="none"/>
          <w:lang w:val="en-US" w:eastAsia="zh-CN"/>
        </w:rPr>
        <w:t>经工集团入库单位</w:t>
      </w:r>
      <w:r>
        <w:rPr>
          <w:rFonts w:hint="default" w:ascii="Times New Roman" w:hAnsi="Times New Roman" w:cs="Times New Roman"/>
          <w:color w:val="auto"/>
          <w:sz w:val="21"/>
          <w:szCs w:val="22"/>
          <w:highlight w:val="none"/>
          <w:u w:val="none"/>
          <w:lang w:val="en-US" w:eastAsia="zh-CN"/>
        </w:rPr>
        <w:t>。</w:t>
      </w:r>
    </w:p>
    <w:p>
      <w:pPr>
        <w:numPr>
          <w:ilvl w:val="-1"/>
          <w:numId w:val="0"/>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信誉要求最低要求：</w:t>
      </w:r>
    </w:p>
    <w:p>
      <w:pPr>
        <w:snapToGrid w:val="0"/>
        <w:spacing w:line="440" w:lineRule="exact"/>
        <w:ind w:firstLine="420" w:firstLineChars="200"/>
        <w:rPr>
          <w:rFonts w:hint="eastAsia"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w:t>
      </w:r>
      <w:r>
        <w:rPr>
          <w:rFonts w:hint="eastAsia" w:ascii="Times New Roman" w:hAnsi="Times New Roman" w:cs="Times New Roman"/>
          <w:color w:val="auto"/>
          <w:sz w:val="21"/>
          <w:szCs w:val="22"/>
          <w:highlight w:val="none"/>
          <w:u w:val="none"/>
          <w:lang w:val="en-US" w:eastAsia="zh-CN"/>
        </w:rPr>
        <w:t>未被责令停业，暂扣或吊销执照，或吊销资质证书；</w:t>
      </w:r>
    </w:p>
    <w:p>
      <w:pPr>
        <w:snapToGrid w:val="0"/>
        <w:spacing w:line="440" w:lineRule="exact"/>
        <w:ind w:firstLine="420" w:firstLineChars="200"/>
        <w:rPr>
          <w:rFonts w:hint="eastAsia"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②未</w:t>
      </w:r>
      <w:r>
        <w:rPr>
          <w:rFonts w:hint="eastAsia" w:ascii="Times New Roman" w:hAnsi="Times New Roman" w:cs="Times New Roman"/>
          <w:color w:val="auto"/>
          <w:szCs w:val="22"/>
          <w:highlight w:val="none"/>
          <w:u w:val="none"/>
        </w:rPr>
        <w:t>进入清算程序，或被宣告破产，或其他丧失履约能力的情形</w:t>
      </w:r>
      <w:r>
        <w:rPr>
          <w:rFonts w:hint="eastAsia"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③</w:t>
      </w:r>
      <w:r>
        <w:rPr>
          <w:rFonts w:hint="default" w:ascii="Times New Roman" w:hAnsi="Times New Roman" w:cs="Times New Roman"/>
          <w:color w:val="auto"/>
          <w:sz w:val="21"/>
          <w:szCs w:val="22"/>
          <w:highlight w:val="none"/>
          <w:u w:val="none"/>
          <w:lang w:val="en-US" w:eastAsia="zh-CN"/>
        </w:rPr>
        <w:t>在国家企业信用信息公示系统（http://www.gsxt.gov.cn）中</w:t>
      </w:r>
      <w:r>
        <w:rPr>
          <w:rFonts w:hint="eastAsia"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 w:val="21"/>
          <w:szCs w:val="22"/>
          <w:highlight w:val="none"/>
          <w:u w:val="none"/>
          <w:lang w:val="en-US" w:eastAsia="zh-CN"/>
        </w:rPr>
        <w:t>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④</w:t>
      </w:r>
      <w:r>
        <w:rPr>
          <w:rFonts w:hint="default" w:ascii="Times New Roman" w:hAnsi="Times New Roman" w:cs="Times New Roman"/>
          <w:color w:val="auto"/>
          <w:sz w:val="21"/>
          <w:szCs w:val="22"/>
          <w:highlight w:val="none"/>
          <w:u w:val="none"/>
          <w:lang w:val="en-US" w:eastAsia="zh-CN"/>
        </w:rPr>
        <w:t>在“信用中国”网站（http://www.creditchina.gov.cn）中</w:t>
      </w:r>
      <w:r>
        <w:rPr>
          <w:rFonts w:hint="eastAsia"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 w:val="21"/>
          <w:szCs w:val="22"/>
          <w:highlight w:val="none"/>
          <w:u w:val="none"/>
          <w:lang w:val="en-US" w:eastAsia="zh-CN"/>
        </w:rPr>
        <w:t>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⑤</w:t>
      </w:r>
      <w:r>
        <w:rPr>
          <w:rFonts w:hint="default" w:ascii="Times New Roman" w:hAnsi="Times New Roman" w:cs="Times New Roman"/>
          <w:color w:val="auto"/>
          <w:sz w:val="21"/>
          <w:szCs w:val="22"/>
          <w:highlight w:val="none"/>
          <w:u w:val="none"/>
          <w:lang w:val="en-US" w:eastAsia="zh-CN"/>
        </w:rPr>
        <w:t>在近三年内（自</w:t>
      </w:r>
      <w:r>
        <w:rPr>
          <w:rFonts w:hint="eastAsia" w:ascii="Times New Roman" w:hAnsi="Times New Roman" w:cs="Times New Roman"/>
          <w:color w:val="auto"/>
          <w:sz w:val="21"/>
          <w:szCs w:val="22"/>
          <w:highlight w:val="none"/>
          <w:u w:val="none"/>
          <w:lang w:val="en-US" w:eastAsia="zh-CN"/>
        </w:rPr>
        <w:t>响应文件递交截止之日</w:t>
      </w:r>
      <w:r>
        <w:rPr>
          <w:rFonts w:hint="default" w:ascii="Times New Roman" w:hAnsi="Times New Roman" w:cs="Times New Roman"/>
          <w:color w:val="auto"/>
          <w:sz w:val="21"/>
          <w:szCs w:val="22"/>
          <w:highlight w:val="none"/>
          <w:u w:val="none"/>
          <w:lang w:val="en-US" w:eastAsia="zh-CN"/>
        </w:rPr>
        <w:t>向前追溯3年）供应商或其法定代表人、拟委任的项目经理</w:t>
      </w:r>
      <w:r>
        <w:rPr>
          <w:rFonts w:hint="eastAsia"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 w:val="21"/>
          <w:szCs w:val="22"/>
          <w:highlight w:val="none"/>
          <w:u w:val="none"/>
          <w:lang w:val="en-US" w:eastAsia="zh-CN"/>
        </w:rPr>
        <w:t>有行贿犯罪行为。</w:t>
      </w:r>
    </w:p>
    <w:p>
      <w:pPr>
        <w:snapToGrid w:val="0"/>
        <w:spacing w:line="440" w:lineRule="exact"/>
        <w:ind w:firstLine="420" w:firstLineChars="200"/>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⑥</w:t>
      </w:r>
      <w:r>
        <w:rPr>
          <w:rFonts w:hint="eastAsia" w:ascii="Times New Roman" w:hAnsi="Times New Roman" w:eastAsiaTheme="minorEastAsia"/>
          <w:highlight w:val="none"/>
          <w:lang w:val="en-US" w:eastAsia="zh-CN"/>
        </w:rPr>
        <w:t>其他要求：________</w:t>
      </w:r>
      <w:r>
        <w:rPr>
          <w:rFonts w:hint="eastAsia" w:ascii="Times New Roman" w:hAnsi="Times New Roman"/>
          <w:highlight w:val="none"/>
          <w:lang w:val="en-US" w:eastAsia="zh-CN"/>
        </w:rPr>
        <w:t>/</w:t>
      </w:r>
      <w:r>
        <w:rPr>
          <w:rFonts w:hint="eastAsia" w:ascii="Times New Roman" w:hAnsi="Times New Roman" w:eastAsiaTheme="minorEastAsia"/>
          <w:highlight w:val="none"/>
          <w:lang w:val="en-US" w:eastAsia="zh-CN"/>
        </w:rPr>
        <w:t>______。</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eastAsia"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rPr>
          <w:rFonts w:hint="default" w:ascii="Times New Roman" w:hAnsi="Times New Roman" w:cs="Times New Roman"/>
          <w:sz w:val="18"/>
          <w:szCs w:val="21"/>
          <w:highlight w:val="none"/>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3"/>
        <w:keepNext/>
        <w:keepLines/>
        <w:pageBreakBefore w:val="0"/>
        <w:widowControl w:val="0"/>
        <w:numPr>
          <w:ilvl w:val="0"/>
          <w:numId w:val="4"/>
        </w:numPr>
        <w:kinsoku/>
        <w:wordWrap/>
        <w:overflowPunct/>
        <w:topLinePunct w:val="0"/>
        <w:autoSpaceDE/>
        <w:autoSpaceDN/>
        <w:bidi w:val="0"/>
        <w:adjustRightInd/>
        <w:snapToGrid w:val="0"/>
        <w:spacing w:before="120" w:after="120" w:line="240" w:lineRule="auto"/>
        <w:ind w:left="20" w:leftChars="0" w:firstLine="403" w:firstLineChars="0"/>
        <w:textAlignment w:val="auto"/>
        <w:rPr>
          <w:rFonts w:hint="default" w:ascii="Times New Roman" w:hAnsi="Times New Roman" w:eastAsia="黑体" w:cs="Times New Roman"/>
          <w:bCs w:val="0"/>
          <w:color w:val="000000"/>
          <w:sz w:val="22"/>
          <w:szCs w:val="15"/>
          <w:highlight w:val="none"/>
        </w:rPr>
      </w:pPr>
      <w:r>
        <w:rPr>
          <w:rFonts w:hint="default" w:ascii="Times New Roman" w:hAnsi="Times New Roman" w:eastAsia="黑体" w:cs="Times New Roman"/>
          <w:bCs w:val="0"/>
          <w:color w:val="000000"/>
          <w:sz w:val="22"/>
          <w:szCs w:val="15"/>
          <w:highlight w:val="none"/>
        </w:rPr>
        <w:t>响应文件的递交</w:t>
      </w:r>
    </w:p>
    <w:p>
      <w:pPr>
        <w:snapToGrid w:val="0"/>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响应文件递交的截止时间为</w:t>
      </w:r>
      <w:r>
        <w:rPr>
          <w:rFonts w:hint="eastAsia" w:ascii="Times New Roman" w:hAnsi="Times New Roman" w:cs="Times New Roman"/>
          <w:color w:val="auto"/>
          <w:sz w:val="21"/>
          <w:szCs w:val="22"/>
          <w:highlight w:val="none"/>
          <w:u w:val="single"/>
          <w:lang w:val="en-US" w:eastAsia="zh-CN"/>
        </w:rPr>
        <w:t>2022</w:t>
      </w:r>
      <w:r>
        <w:rPr>
          <w:rFonts w:hint="default" w:ascii="Times New Roman" w:hAnsi="Times New Roman" w:cs="Times New Roman"/>
          <w:color w:val="auto"/>
          <w:sz w:val="21"/>
          <w:szCs w:val="22"/>
          <w:highlight w:val="none"/>
          <w:lang w:val="en-US" w:eastAsia="zh-CN"/>
        </w:rPr>
        <w:t>年</w:t>
      </w:r>
      <w:r>
        <w:rPr>
          <w:rFonts w:hint="eastAsia" w:ascii="Times New Roman" w:hAnsi="Times New Roman" w:cs="Times New Roman"/>
          <w:color w:val="auto"/>
          <w:sz w:val="21"/>
          <w:szCs w:val="22"/>
          <w:highlight w:val="none"/>
          <w:u w:val="single"/>
          <w:lang w:val="en-US" w:eastAsia="zh-CN"/>
        </w:rPr>
        <w:t>4</w:t>
      </w:r>
      <w:r>
        <w:rPr>
          <w:rFonts w:hint="default" w:ascii="Times New Roman" w:hAnsi="Times New Roman" w:cs="Times New Roman"/>
          <w:color w:val="auto"/>
          <w:sz w:val="21"/>
          <w:szCs w:val="22"/>
          <w:highlight w:val="none"/>
          <w:lang w:val="en-US" w:eastAsia="zh-CN"/>
        </w:rPr>
        <w:t>月</w:t>
      </w:r>
      <w:r>
        <w:rPr>
          <w:rFonts w:hint="eastAsia" w:ascii="Times New Roman" w:hAnsi="Times New Roman" w:cs="Times New Roman"/>
          <w:color w:val="auto"/>
          <w:sz w:val="21"/>
          <w:szCs w:val="22"/>
          <w:highlight w:val="none"/>
          <w:u w:val="single"/>
          <w:lang w:val="en-US" w:eastAsia="zh-CN"/>
        </w:rPr>
        <w:t>6</w:t>
      </w:r>
      <w:r>
        <w:rPr>
          <w:rFonts w:hint="default" w:ascii="Times New Roman" w:hAnsi="Times New Roman" w:cs="Times New Roman"/>
          <w:color w:val="auto"/>
          <w:sz w:val="21"/>
          <w:szCs w:val="22"/>
          <w:highlight w:val="none"/>
          <w:lang w:val="en-US" w:eastAsia="zh-CN"/>
        </w:rPr>
        <w:t>日</w:t>
      </w:r>
      <w:r>
        <w:rPr>
          <w:rFonts w:hint="eastAsia" w:ascii="Times New Roman" w:hAnsi="Times New Roman" w:cs="Times New Roman"/>
          <w:color w:val="auto"/>
          <w:sz w:val="21"/>
          <w:szCs w:val="22"/>
          <w:highlight w:val="none"/>
          <w:u w:val="single"/>
          <w:lang w:val="en-US" w:eastAsia="zh-CN"/>
        </w:rPr>
        <w:t>10</w:t>
      </w:r>
      <w:r>
        <w:rPr>
          <w:rFonts w:hint="default" w:ascii="Times New Roman" w:hAnsi="Times New Roman" w:cs="Times New Roman"/>
          <w:color w:val="auto"/>
          <w:sz w:val="21"/>
          <w:szCs w:val="22"/>
          <w:highlight w:val="none"/>
          <w:lang w:val="en-US" w:eastAsia="zh-CN"/>
        </w:rPr>
        <w:t>时</w:t>
      </w:r>
      <w:r>
        <w:rPr>
          <w:rFonts w:hint="eastAsia" w:ascii="Times New Roman" w:hAnsi="Times New Roman" w:cs="Times New Roman"/>
          <w:color w:val="auto"/>
          <w:sz w:val="21"/>
          <w:szCs w:val="22"/>
          <w:highlight w:val="none"/>
          <w:u w:val="single"/>
          <w:lang w:val="en-US" w:eastAsia="zh-CN"/>
        </w:rPr>
        <w:t>30</w:t>
      </w:r>
      <w:r>
        <w:rPr>
          <w:rFonts w:hint="default" w:ascii="Times New Roman" w:hAnsi="Times New Roman" w:cs="Times New Roman"/>
          <w:color w:val="auto"/>
          <w:sz w:val="21"/>
          <w:szCs w:val="22"/>
          <w:highlight w:val="none"/>
          <w:lang w:val="en-US" w:eastAsia="zh-CN"/>
        </w:rPr>
        <w:t>分</w:t>
      </w:r>
      <w:r>
        <w:rPr>
          <w:rFonts w:hint="default" w:ascii="Times New Roman" w:hAnsi="Times New Roman" w:cs="Times New Roman"/>
          <w:color w:val="auto"/>
          <w:sz w:val="21"/>
          <w:szCs w:val="22"/>
          <w:highlight w:val="none"/>
        </w:rPr>
        <w:t>，供应商的法定代表人或其授权代理人应于</w:t>
      </w:r>
      <w:r>
        <w:rPr>
          <w:rFonts w:hint="default" w:ascii="Times New Roman" w:hAnsi="Times New Roman" w:cs="Times New Roman"/>
          <w:color w:val="auto"/>
          <w:sz w:val="21"/>
          <w:szCs w:val="22"/>
          <w:highlight w:val="none"/>
          <w:lang w:val="en-US" w:eastAsia="zh-CN"/>
        </w:rPr>
        <w:t>递交的截止时间前</w:t>
      </w:r>
      <w:r>
        <w:rPr>
          <w:rFonts w:hint="default" w:ascii="Times New Roman" w:hAnsi="Times New Roman" w:cs="Times New Roman"/>
          <w:color w:val="auto"/>
          <w:sz w:val="21"/>
          <w:szCs w:val="22"/>
          <w:highlight w:val="none"/>
        </w:rPr>
        <w:t>将响应文件</w:t>
      </w:r>
      <w:r>
        <w:rPr>
          <w:rFonts w:hint="eastAsia" w:ascii="Times New Roman" w:hAnsi="Times New Roman" w:cs="Times New Roman"/>
          <w:szCs w:val="22"/>
          <w:highlight w:val="none"/>
          <w:lang w:val="en-US" w:eastAsia="zh-CN"/>
        </w:rPr>
        <w:t>递交至</w:t>
      </w:r>
      <w:r>
        <w:rPr>
          <w:rFonts w:hint="eastAsia" w:ascii="Times New Roman" w:hAnsi="Times New Roman" w:cs="Times New Roman"/>
          <w:szCs w:val="22"/>
          <w:highlight w:val="none"/>
          <w:u w:val="single"/>
          <w:lang w:val="en-US" w:eastAsia="zh-CN"/>
        </w:rPr>
        <w:t>安徽省经工建设集团有限公司二楼会议室</w:t>
      </w:r>
      <w:r>
        <w:rPr>
          <w:rFonts w:hint="default" w:ascii="Times New Roman" w:hAnsi="Times New Roman" w:cs="Times New Roman"/>
          <w:color w:val="auto"/>
          <w:sz w:val="21"/>
          <w:szCs w:val="22"/>
          <w:highlight w:val="none"/>
        </w:rPr>
        <w:t>。</w:t>
      </w:r>
    </w:p>
    <w:p>
      <w:pPr>
        <w:pStyle w:val="3"/>
        <w:keepNext/>
        <w:keepLines/>
        <w:pageBreakBefore w:val="0"/>
        <w:widowControl w:val="0"/>
        <w:numPr>
          <w:ilvl w:val="0"/>
          <w:numId w:val="4"/>
        </w:numPr>
        <w:kinsoku/>
        <w:wordWrap/>
        <w:overflowPunct/>
        <w:topLinePunct w:val="0"/>
        <w:autoSpaceDE/>
        <w:autoSpaceDN/>
        <w:bidi w:val="0"/>
        <w:adjustRightInd/>
        <w:snapToGrid w:val="0"/>
        <w:spacing w:before="120" w:after="120" w:line="240" w:lineRule="auto"/>
        <w:ind w:left="20" w:leftChars="0" w:firstLine="403" w:firstLineChars="0"/>
        <w:textAlignment w:val="auto"/>
        <w:rPr>
          <w:rFonts w:hint="default" w:ascii="Times New Roman" w:hAnsi="Times New Roman" w:eastAsia="黑体" w:cs="Times New Roman"/>
          <w:bCs w:val="0"/>
          <w:color w:val="000000"/>
          <w:sz w:val="22"/>
          <w:szCs w:val="15"/>
          <w:highlight w:val="none"/>
        </w:rPr>
      </w:pPr>
      <w:r>
        <w:rPr>
          <w:rFonts w:hint="default" w:ascii="Times New Roman" w:hAnsi="Times New Roman" w:eastAsia="黑体" w:cs="Times New Roman"/>
          <w:bCs w:val="0"/>
          <w:color w:val="000000"/>
          <w:sz w:val="22"/>
          <w:szCs w:val="15"/>
          <w:highlight w:val="none"/>
          <w:lang w:val="en-US" w:eastAsia="zh-CN"/>
        </w:rPr>
        <w:t>响应文件启封</w:t>
      </w:r>
    </w:p>
    <w:p>
      <w:pPr>
        <w:snapToGrid w:val="0"/>
        <w:spacing w:line="440" w:lineRule="exact"/>
        <w:ind w:firstLine="420" w:firstLineChars="200"/>
        <w:rPr>
          <w:rFonts w:hint="default" w:ascii="Times New Roman" w:hAnsi="Times New Roman" w:cs="Times New Roman" w:eastAsiaTheme="minorEastAsia"/>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w:t>
      </w:r>
      <w:r>
        <w:rPr>
          <w:rFonts w:hint="eastAsia" w:ascii="Times New Roman" w:hAnsi="Times New Roman" w:cs="Times New Roman"/>
          <w:szCs w:val="22"/>
          <w:highlight w:val="none"/>
          <w:u w:val="single"/>
          <w:lang w:val="en-US" w:eastAsia="zh-CN"/>
        </w:rPr>
        <w:t>安徽省经工建设集团有限公司二楼会议室</w:t>
      </w:r>
      <w:r>
        <w:rPr>
          <w:rFonts w:hint="default" w:ascii="Times New Roman" w:hAnsi="Times New Roman" w:cs="Times New Roman"/>
          <w:color w:val="auto"/>
          <w:sz w:val="21"/>
          <w:szCs w:val="22"/>
          <w:highlight w:val="none"/>
          <w:lang w:val="en-US" w:eastAsia="zh-CN"/>
        </w:rPr>
        <w:t>组织进行响应文件的启封。供应商的法定代表人或授权代理人应携带本人身份证</w:t>
      </w:r>
      <w:r>
        <w:rPr>
          <w:rFonts w:hint="eastAsia" w:ascii="Times New Roman" w:hAnsi="Times New Roman" w:cs="Times New Roman"/>
          <w:color w:val="auto"/>
          <w:sz w:val="21"/>
          <w:szCs w:val="22"/>
          <w:highlight w:val="none"/>
          <w:lang w:val="en-US" w:eastAsia="zh-CN"/>
        </w:rPr>
        <w:t>、</w:t>
      </w:r>
      <w:r>
        <w:rPr>
          <w:rFonts w:hint="eastAsia" w:ascii="Times New Roman" w:hAnsi="Times New Roman" w:cs="Times New Roman"/>
          <w:color w:val="auto"/>
          <w:szCs w:val="22"/>
          <w:highlight w:val="none"/>
        </w:rPr>
        <w:t>授权代理人</w:t>
      </w:r>
      <w:r>
        <w:rPr>
          <w:rFonts w:hint="eastAsia" w:ascii="Times New Roman" w:hAnsi="Times New Roman" w:cs="Times New Roman"/>
          <w:color w:val="auto"/>
          <w:szCs w:val="22"/>
          <w:highlight w:val="none"/>
          <w:lang w:val="en-US" w:eastAsia="zh-CN"/>
        </w:rPr>
        <w:t>应携带</w:t>
      </w:r>
      <w:r>
        <w:rPr>
          <w:rFonts w:hint="eastAsia" w:ascii="Times New Roman" w:hAnsi="Times New Roman" w:cs="Times New Roman"/>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pStyle w:val="3"/>
        <w:keepNext/>
        <w:keepLines/>
        <w:pageBreakBefore w:val="0"/>
        <w:widowControl w:val="0"/>
        <w:kinsoku/>
        <w:wordWrap/>
        <w:overflowPunct/>
        <w:topLinePunct w:val="0"/>
        <w:autoSpaceDE/>
        <w:autoSpaceDN/>
        <w:bidi w:val="0"/>
        <w:adjustRightInd/>
        <w:snapToGrid w:val="0"/>
        <w:spacing w:before="120" w:after="120" w:line="240" w:lineRule="auto"/>
        <w:ind w:left="20" w:leftChars="0" w:firstLine="403" w:firstLineChars="0"/>
        <w:textAlignment w:val="auto"/>
        <w:rPr>
          <w:rFonts w:hint="default" w:ascii="Times New Roman" w:hAnsi="Times New Roman" w:eastAsia="黑体" w:cs="Times New Roman"/>
          <w:bCs w:val="0"/>
          <w:color w:val="000000"/>
          <w:sz w:val="22"/>
          <w:szCs w:val="15"/>
          <w:highlight w:val="none"/>
        </w:rPr>
      </w:pPr>
      <w:r>
        <w:rPr>
          <w:rFonts w:hint="eastAsia" w:ascii="Times New Roman" w:hAnsi="Times New Roman" w:eastAsia="黑体" w:cs="Times New Roman"/>
          <w:bCs w:val="0"/>
          <w:color w:val="000000"/>
          <w:sz w:val="22"/>
          <w:szCs w:val="15"/>
          <w:highlight w:val="none"/>
          <w:lang w:val="en-US" w:eastAsia="zh-CN"/>
        </w:rPr>
        <w:t>响应保证金</w:t>
      </w:r>
    </w:p>
    <w:p>
      <w:pPr>
        <w:snapToGrid w:val="0"/>
        <w:spacing w:line="440" w:lineRule="exact"/>
        <w:ind w:firstLine="420" w:firstLineChars="200"/>
        <w:rPr>
          <w:rFonts w:hint="eastAsia" w:ascii="Times New Roman" w:hAnsi="Times New Roman"/>
          <w:highlight w:val="none"/>
          <w:lang w:val="en-US" w:eastAsia="zh-CN"/>
        </w:rPr>
      </w:pPr>
      <w:r>
        <w:rPr>
          <w:rFonts w:hint="eastAsia" w:ascii="Times New Roman" w:hAnsi="Times New Roman"/>
          <w:highlight w:val="none"/>
          <w:lang w:val="en-US" w:eastAsia="zh-CN"/>
        </w:rPr>
        <w:t>响应</w:t>
      </w:r>
      <w:r>
        <w:rPr>
          <w:rFonts w:hint="default" w:ascii="Times New Roman" w:hAnsi="Times New Roman" w:cs="Times New Roman"/>
          <w:color w:val="auto"/>
          <w:szCs w:val="22"/>
          <w:highlight w:val="none"/>
          <w:lang w:val="en-US" w:eastAsia="zh-CN"/>
        </w:rPr>
        <w:t>保证金</w:t>
      </w:r>
      <w:r>
        <w:rPr>
          <w:rFonts w:hint="eastAsia" w:ascii="Times New Roman" w:hAnsi="Times New Roman"/>
          <w:highlight w:val="none"/>
          <w:lang w:val="en-US" w:eastAsia="zh-CN"/>
        </w:rPr>
        <w:t>的金额：壹万元整</w:t>
      </w:r>
    </w:p>
    <w:p>
      <w:pPr>
        <w:snapToGrid w:val="0"/>
        <w:spacing w:line="440" w:lineRule="exact"/>
        <w:ind w:firstLine="420" w:firstLineChars="200"/>
        <w:rPr>
          <w:rFonts w:hint="eastAsia" w:ascii="Times New Roman" w:hAnsi="Times New Roman"/>
          <w:highlight w:val="none"/>
          <w:lang w:val="en-US" w:eastAsia="zh-CN"/>
        </w:rPr>
      </w:pPr>
      <w:r>
        <w:rPr>
          <w:rFonts w:hint="eastAsia" w:ascii="Times New Roman" w:hAnsi="Times New Roman"/>
          <w:highlight w:val="none"/>
          <w:lang w:val="en-US" w:eastAsia="zh-CN"/>
        </w:rPr>
        <w:t>响应</w:t>
      </w:r>
      <w:r>
        <w:rPr>
          <w:rFonts w:hint="default" w:ascii="Times New Roman" w:hAnsi="Times New Roman" w:cs="Times New Roman"/>
          <w:color w:val="auto"/>
          <w:szCs w:val="22"/>
          <w:highlight w:val="none"/>
          <w:lang w:val="en-US" w:eastAsia="zh-CN"/>
        </w:rPr>
        <w:t>保证金</w:t>
      </w:r>
      <w:r>
        <w:rPr>
          <w:rFonts w:hint="eastAsia" w:ascii="Times New Roman" w:hAnsi="Times New Roman"/>
          <w:highlight w:val="none"/>
          <w:lang w:val="en-US" w:eastAsia="zh-CN"/>
        </w:rPr>
        <w:t>的递交形式：银行转账（或现金）</w:t>
      </w:r>
    </w:p>
    <w:p>
      <w:pPr>
        <w:snapToGrid w:val="0"/>
        <w:spacing w:line="440" w:lineRule="exact"/>
        <w:ind w:firstLine="420" w:firstLineChars="200"/>
        <w:rPr>
          <w:rFonts w:hint="eastAsia" w:ascii="Times New Roman" w:hAnsi="Times New Roman"/>
          <w:highlight w:val="none"/>
          <w:lang w:val="en-US" w:eastAsia="zh-CN"/>
        </w:rPr>
      </w:pPr>
      <w:r>
        <w:rPr>
          <w:rFonts w:hint="eastAsia" w:ascii="Times New Roman" w:hAnsi="Times New Roman"/>
          <w:highlight w:val="none"/>
          <w:lang w:val="en-US" w:eastAsia="zh-CN"/>
        </w:rPr>
        <w:t>递交</w:t>
      </w:r>
      <w:r>
        <w:rPr>
          <w:rFonts w:hint="default" w:ascii="Times New Roman" w:hAnsi="Times New Roman" w:cs="Times New Roman"/>
          <w:color w:val="auto"/>
          <w:szCs w:val="22"/>
          <w:highlight w:val="none"/>
          <w:lang w:val="en-US" w:eastAsia="zh-CN"/>
        </w:rPr>
        <w:t>账号</w:t>
      </w:r>
      <w:r>
        <w:rPr>
          <w:rFonts w:hint="eastAsia" w:ascii="Times New Roman" w:hAnsi="Times New Roman"/>
          <w:highlight w:val="none"/>
          <w:lang w:val="en-US" w:eastAsia="zh-CN"/>
        </w:rPr>
        <w:t>：</w:t>
      </w:r>
    </w:p>
    <w:p>
      <w:pPr>
        <w:spacing w:line="440" w:lineRule="exact"/>
        <w:ind w:firstLine="420" w:firstLineChars="200"/>
        <w:jc w:val="left"/>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名    称：安徽省经工建设集团有限公司</w:t>
      </w:r>
    </w:p>
    <w:p>
      <w:pPr>
        <w:spacing w:line="440" w:lineRule="exact"/>
        <w:ind w:firstLine="420" w:firstLineChars="200"/>
        <w:jc w:val="left"/>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开户银行：工行合肥东陈岗支行（分理处）</w:t>
      </w:r>
    </w:p>
    <w:p>
      <w:pPr>
        <w:spacing w:line="440" w:lineRule="exact"/>
        <w:ind w:firstLine="420" w:firstLineChars="200"/>
        <w:jc w:val="left"/>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账    号：1302012109026700213</w:t>
      </w:r>
    </w:p>
    <w:p>
      <w:pPr>
        <w:spacing w:line="440" w:lineRule="exact"/>
        <w:ind w:firstLine="420" w:firstLineChars="200"/>
        <w:jc w:val="left"/>
        <w:rPr>
          <w:rFonts w:hint="default" w:ascii="Times New Roman" w:hAnsi="Times New Roman" w:cs="Times New Roman"/>
          <w:highlight w:val="none"/>
          <w:u w:val="none"/>
          <w:lang w:val="en-US" w:eastAsia="zh-CN"/>
        </w:rPr>
      </w:pPr>
      <w:r>
        <w:rPr>
          <w:rFonts w:hint="eastAsia" w:ascii="Times New Roman" w:hAnsi="Times New Roman"/>
          <w:color w:val="auto"/>
          <w:highlight w:val="none"/>
          <w:lang w:val="en-US" w:eastAsia="zh-CN"/>
        </w:rPr>
        <w:t>递交截止时间：响应截止日期前</w:t>
      </w:r>
    </w:p>
    <w:p>
      <w:pPr>
        <w:keepNext w:val="0"/>
        <w:keepLines w:val="0"/>
        <w:pageBreakBefore w:val="0"/>
        <w:widowControl/>
        <w:numPr>
          <w:ilvl w:val="-1"/>
          <w:numId w:val="0"/>
        </w:numPr>
        <w:kinsoku/>
        <w:wordWrap/>
        <w:overflowPunct/>
        <w:topLinePunct w:val="0"/>
        <w:autoSpaceDE/>
        <w:autoSpaceDN/>
        <w:bidi w:val="0"/>
        <w:adjustRightInd/>
        <w:snapToGrid w:val="0"/>
        <w:spacing w:before="0" w:after="0" w:line="440" w:lineRule="exact"/>
        <w:ind w:left="0" w:leftChars="0" w:firstLine="420" w:firstLineChars="200"/>
        <w:textAlignment w:val="auto"/>
        <w:rPr>
          <w:rFonts w:hint="eastAsia" w:ascii="Times New Roman" w:hAnsi="Times New Roman" w:eastAsiaTheme="minorEastAsia"/>
          <w:highlight w:val="none"/>
          <w:lang w:val="en-US" w:eastAsia="zh-CN"/>
        </w:rPr>
      </w:pPr>
      <w:r>
        <w:rPr>
          <w:rFonts w:hint="eastAsia" w:ascii="Times New Roman" w:hAnsi="Times New Roman"/>
          <w:highlight w:val="none"/>
          <w:lang w:val="en-US" w:eastAsia="zh-CN"/>
        </w:rPr>
        <w:t>供应商</w:t>
      </w:r>
      <w:r>
        <w:rPr>
          <w:rFonts w:hint="default" w:ascii="Times New Roman" w:hAnsi="Times New Roman" w:cs="Times New Roman"/>
          <w:color w:val="auto"/>
          <w:szCs w:val="22"/>
          <w:highlight w:val="none"/>
          <w:lang w:val="en-US" w:eastAsia="zh-CN"/>
        </w:rPr>
        <w:t>完成</w:t>
      </w:r>
      <w:r>
        <w:rPr>
          <w:rFonts w:hint="eastAsia" w:ascii="Times New Roman" w:hAnsi="Times New Roman"/>
          <w:highlight w:val="none"/>
          <w:lang w:val="en-US" w:eastAsia="zh-CN"/>
        </w:rPr>
        <w:t>转账的</w:t>
      </w:r>
      <w:r>
        <w:rPr>
          <w:rFonts w:hint="eastAsia" w:ascii="Times New Roman" w:hAnsi="Times New Roman"/>
          <w:highlight w:val="none"/>
        </w:rPr>
        <w:t>银行账户名称</w:t>
      </w:r>
      <w:r>
        <w:rPr>
          <w:rFonts w:hint="eastAsia" w:ascii="Times New Roman" w:hAnsi="Times New Roman"/>
          <w:highlight w:val="none"/>
          <w:lang w:val="en-US" w:eastAsia="zh-CN"/>
        </w:rPr>
        <w:t>应</w:t>
      </w:r>
      <w:r>
        <w:rPr>
          <w:rFonts w:hint="eastAsia" w:ascii="Times New Roman" w:hAnsi="Times New Roman"/>
          <w:highlight w:val="none"/>
        </w:rPr>
        <w:t>与供应商</w:t>
      </w:r>
      <w:r>
        <w:rPr>
          <w:rFonts w:hint="eastAsia" w:ascii="Times New Roman" w:hAnsi="Times New Roman"/>
          <w:highlight w:val="none"/>
          <w:lang w:val="en-US" w:eastAsia="zh-CN"/>
        </w:rPr>
        <w:t>的单位</w:t>
      </w:r>
      <w:r>
        <w:rPr>
          <w:rFonts w:hint="eastAsia" w:ascii="Times New Roman" w:hAnsi="Times New Roman"/>
          <w:highlight w:val="none"/>
        </w:rPr>
        <w:t>名称</w:t>
      </w:r>
      <w:r>
        <w:rPr>
          <w:rFonts w:hint="eastAsia" w:ascii="Times New Roman" w:hAnsi="Times New Roman"/>
          <w:highlight w:val="none"/>
          <w:lang w:val="en-US" w:eastAsia="zh-CN"/>
        </w:rPr>
        <w:t>一致</w:t>
      </w:r>
      <w:r>
        <w:rPr>
          <w:rFonts w:hint="eastAsia" w:ascii="Times New Roman" w:hAnsi="Times New Roman"/>
          <w:highlight w:val="none"/>
          <w:lang w:eastAsia="zh-CN"/>
        </w:rPr>
        <w:t>。</w:t>
      </w:r>
    </w:p>
    <w:p>
      <w:pPr>
        <w:pStyle w:val="3"/>
        <w:keepNext/>
        <w:keepLines/>
        <w:pageBreakBefore w:val="0"/>
        <w:widowControl w:val="0"/>
        <w:numPr>
          <w:ilvl w:val="0"/>
          <w:numId w:val="4"/>
        </w:numPr>
        <w:kinsoku/>
        <w:wordWrap/>
        <w:overflowPunct/>
        <w:topLinePunct w:val="0"/>
        <w:autoSpaceDE/>
        <w:autoSpaceDN/>
        <w:bidi w:val="0"/>
        <w:adjustRightInd/>
        <w:snapToGrid w:val="0"/>
        <w:spacing w:before="120" w:after="120" w:line="240" w:lineRule="auto"/>
        <w:ind w:left="20" w:leftChars="0" w:firstLine="403" w:firstLineChars="0"/>
        <w:textAlignment w:val="auto"/>
        <w:rPr>
          <w:rFonts w:hint="default" w:ascii="Times New Roman" w:hAnsi="Times New Roman" w:eastAsia="黑体" w:cs="Times New Roman"/>
          <w:bCs w:val="0"/>
          <w:color w:val="000000"/>
          <w:sz w:val="22"/>
          <w:szCs w:val="15"/>
          <w:highlight w:val="none"/>
        </w:rPr>
      </w:pPr>
      <w:r>
        <w:rPr>
          <w:rFonts w:hint="default" w:ascii="Times New Roman" w:hAnsi="Times New Roman" w:eastAsia="黑体" w:cs="Times New Roman"/>
          <w:bCs w:val="0"/>
          <w:color w:val="000000"/>
          <w:sz w:val="22"/>
          <w:szCs w:val="15"/>
          <w:highlight w:val="none"/>
        </w:rPr>
        <w:t>采购人联系方式</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color w:val="auto"/>
          <w:sz w:val="21"/>
          <w:szCs w:val="22"/>
          <w:highlight w:val="none"/>
          <w:lang w:val="en-US"/>
        </w:rPr>
      </w:pPr>
      <w:r>
        <w:rPr>
          <w:rFonts w:hint="default" w:ascii="Times New Roman" w:hAnsi="Times New Roman" w:cs="Times New Roman"/>
          <w:color w:val="auto"/>
          <w:sz w:val="21"/>
          <w:szCs w:val="22"/>
          <w:highlight w:val="none"/>
        </w:rPr>
        <w:t>采 购 人：</w:t>
      </w:r>
      <w:r>
        <w:rPr>
          <w:rFonts w:hint="eastAsia" w:ascii="Times New Roman" w:hAnsi="Times New Roman" w:cs="Times New Roman"/>
          <w:color w:val="auto"/>
          <w:sz w:val="21"/>
          <w:szCs w:val="22"/>
          <w:highlight w:val="none"/>
          <w:u w:val="single"/>
          <w:lang w:val="en-US" w:eastAsia="zh-CN"/>
        </w:rPr>
        <w:t>安徽省经工建设集团有限公司</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color w:val="auto"/>
          <w:sz w:val="21"/>
          <w:szCs w:val="22"/>
          <w:highlight w:val="none"/>
          <w:lang w:val="en-US"/>
        </w:rPr>
      </w:pPr>
      <w:r>
        <w:rPr>
          <w:rFonts w:hint="default" w:ascii="Times New Roman" w:hAnsi="Times New Roman" w:cs="Times New Roman"/>
          <w:color w:val="auto"/>
          <w:sz w:val="21"/>
          <w:szCs w:val="22"/>
          <w:highlight w:val="none"/>
        </w:rPr>
        <w:t>地    址：</w:t>
      </w:r>
      <w:r>
        <w:rPr>
          <w:rFonts w:hint="eastAsia" w:ascii="Times New Roman" w:hAnsi="Times New Roman" w:cs="Times New Roman"/>
          <w:color w:val="auto"/>
          <w:sz w:val="21"/>
          <w:szCs w:val="22"/>
          <w:highlight w:val="none"/>
          <w:u w:val="single"/>
          <w:lang w:val="en-US" w:eastAsia="zh-CN"/>
        </w:rPr>
        <w:t>安徽省合肥市蜀山区甘泉路398号</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陈工</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18268495766 </w:t>
      </w:r>
      <w:r>
        <w:rPr>
          <w:rFonts w:hint="eastAsia" w:ascii="宋体" w:hAnsi="宋体" w:eastAsia="宋体" w:cs="宋体"/>
          <w:i w:val="0"/>
          <w:iCs w:val="0"/>
          <w:caps w:val="0"/>
          <w:color w:val="333333"/>
          <w:spacing w:val="0"/>
          <w:kern w:val="0"/>
          <w:sz w:val="24"/>
          <w:szCs w:val="24"/>
          <w:shd w:val="clear" w:fill="FFFFFF"/>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lang w:val="en-US" w:eastAsia="zh-CN"/>
        </w:rPr>
        <w:t>电子邮箱：</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1374131140@qq.com</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 xml:space="preserve">                                        </w:t>
      </w:r>
    </w:p>
    <w:p>
      <w:pPr>
        <w:pStyle w:val="19"/>
        <w:jc w:val="right"/>
        <w:rPr>
          <w:rFonts w:hint="default" w:ascii="Times New Roman" w:hAnsi="Times New Roman" w:eastAsia="Fang Song" w:cs="Times New Roman"/>
          <w:color w:val="auto"/>
          <w:sz w:val="21"/>
          <w:szCs w:val="22"/>
          <w:highlight w:val="none"/>
          <w:lang w:val="en-US" w:eastAsia="zh-CN"/>
        </w:rPr>
      </w:pPr>
    </w:p>
    <w:p>
      <w:pPr>
        <w:pStyle w:val="19"/>
        <w:jc w:val="right"/>
        <w:rPr>
          <w:rFonts w:hint="default" w:ascii="Times New Roman" w:hAnsi="Times New Roman" w:cs="Times New Roman"/>
          <w:color w:val="auto"/>
          <w:sz w:val="21"/>
          <w:szCs w:val="22"/>
          <w:highlight w:val="none"/>
        </w:rPr>
      </w:pPr>
      <w:r>
        <w:rPr>
          <w:rFonts w:hint="eastAsia" w:ascii="Times New Roman" w:hAnsi="Times New Roman" w:cs="Times New Roman"/>
          <w:color w:val="auto"/>
          <w:sz w:val="21"/>
          <w:szCs w:val="22"/>
          <w:highlight w:val="none"/>
          <w:lang w:val="en-US" w:eastAsia="zh-CN"/>
        </w:rPr>
        <w:t>2022</w:t>
      </w:r>
      <w:r>
        <w:rPr>
          <w:rFonts w:hint="default" w:ascii="Times New Roman" w:hAnsi="Times New Roman" w:cs="Times New Roman"/>
          <w:color w:val="auto"/>
          <w:sz w:val="21"/>
          <w:szCs w:val="22"/>
          <w:highlight w:val="none"/>
        </w:rPr>
        <w:t>年</w:t>
      </w:r>
      <w:r>
        <w:rPr>
          <w:rFonts w:hint="eastAsia"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月</w:t>
      </w:r>
      <w:r>
        <w:rPr>
          <w:rFonts w:hint="eastAsia" w:ascii="Times New Roman" w:hAnsi="Times New Roman" w:cs="Times New Roman"/>
          <w:color w:val="auto"/>
          <w:sz w:val="21"/>
          <w:szCs w:val="22"/>
          <w:highlight w:val="none"/>
          <w:lang w:val="en-US" w:eastAsia="zh-CN"/>
        </w:rPr>
        <w:t>30</w:t>
      </w:r>
      <w:r>
        <w:rPr>
          <w:rFonts w:hint="default" w:ascii="Times New Roman" w:hAnsi="Times New Roman" w:cs="Times New Roman"/>
          <w:color w:val="auto"/>
          <w:sz w:val="21"/>
          <w:szCs w:val="22"/>
          <w:highlight w:val="none"/>
        </w:rPr>
        <w:t>日</w:t>
      </w:r>
    </w:p>
    <w:p>
      <w:pPr>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br w:type="page"/>
      </w:r>
    </w:p>
    <w:p>
      <w:pPr>
        <w:rPr>
          <w:rFonts w:hint="default" w:ascii="Times New Roman" w:hAnsi="Times New Roman" w:cs="Times New Roman"/>
          <w:color w:val="auto"/>
          <w:sz w:val="21"/>
          <w:szCs w:val="22"/>
          <w:highlight w:val="none"/>
        </w:rPr>
      </w:pPr>
    </w:p>
    <w:p>
      <w:pPr>
        <w:pStyle w:val="3"/>
        <w:numPr>
          <w:ilvl w:val="0"/>
          <w:numId w:val="0"/>
        </w:numPr>
        <w:ind w:left="420" w:left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第二章 投标人须知</w:t>
      </w:r>
    </w:p>
    <w:p>
      <w:pPr>
        <w:pStyle w:val="4"/>
        <w:rPr>
          <w:rFonts w:hint="eastAsia" w:ascii="仿宋_GB2312" w:hAnsi="仿宋_GB2312" w:eastAsia="仿宋_GB2312" w:cs="仿宋_GB2312"/>
        </w:rPr>
      </w:pPr>
      <w:bookmarkStart w:id="1" w:name="_Toc246996174"/>
      <w:bookmarkStart w:id="2" w:name="_Toc144974496"/>
      <w:bookmarkStart w:id="3" w:name="_Toc500318553"/>
      <w:bookmarkStart w:id="4" w:name="_Toc152042304"/>
      <w:bookmarkStart w:id="5" w:name="_Toc247085688"/>
      <w:bookmarkStart w:id="6" w:name="_Toc179632545"/>
      <w:bookmarkStart w:id="7" w:name="_Toc246996917"/>
      <w:bookmarkStart w:id="8" w:name="_Toc152045528"/>
      <w:r>
        <w:rPr>
          <w:rFonts w:hint="eastAsia" w:ascii="仿宋_GB2312" w:hAnsi="仿宋_GB2312" w:eastAsia="仿宋_GB2312" w:cs="仿宋_GB2312"/>
        </w:rPr>
        <w:t>投标人须知前附表</w:t>
      </w:r>
      <w:bookmarkEnd w:id="1"/>
      <w:bookmarkEnd w:id="2"/>
      <w:bookmarkEnd w:id="3"/>
      <w:bookmarkEnd w:id="4"/>
      <w:bookmarkEnd w:id="5"/>
      <w:bookmarkEnd w:id="6"/>
      <w:bookmarkEnd w:id="7"/>
      <w:bookmarkEnd w:id="8"/>
      <w:r>
        <w:rPr>
          <w:rFonts w:hint="eastAsia" w:ascii="仿宋_GB2312" w:hAnsi="仿宋_GB2312" w:eastAsia="仿宋_GB2312" w:cs="仿宋_GB2312"/>
        </w:rPr>
        <w:t xml:space="preserve"> </w:t>
      </w:r>
    </w:p>
    <w:tbl>
      <w:tblPr>
        <w:tblStyle w:val="15"/>
        <w:tblW w:w="9215" w:type="dxa"/>
        <w:tblInd w:w="-176" w:type="dxa"/>
        <w:tblLayout w:type="fixed"/>
        <w:tblCellMar>
          <w:top w:w="0" w:type="dxa"/>
          <w:left w:w="108" w:type="dxa"/>
          <w:bottom w:w="0" w:type="dxa"/>
          <w:right w:w="108" w:type="dxa"/>
        </w:tblCellMar>
      </w:tblPr>
      <w:tblGrid>
        <w:gridCol w:w="851"/>
        <w:gridCol w:w="2216"/>
        <w:gridCol w:w="6148"/>
      </w:tblGrid>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条  款  名  称</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编  列  内  容</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人</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安徽省经工建设集团有限公司</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阜阳处大棚维修工程</w:t>
            </w:r>
            <w:r>
              <w:rPr>
                <w:rFonts w:hint="eastAsia" w:ascii="仿宋_GB2312" w:hAnsi="仿宋_GB2312" w:eastAsia="仿宋_GB2312" w:cs="仿宋_GB2312"/>
                <w:szCs w:val="21"/>
                <w:lang w:val="en-US" w:eastAsia="zh-CN"/>
              </w:rPr>
              <w:t>项目劳务</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ind w:firstLine="630" w:firstLineChars="300"/>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编号</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仿宋_GB2312" w:hAnsi="仿宋_GB2312" w:eastAsia="仿宋_GB2312" w:cs="仿宋_GB2312"/>
                <w:szCs w:val="21"/>
                <w:lang w:val="en-US" w:eastAsia="zh-CN"/>
              </w:rPr>
            </w:pP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建设地点</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详见标段划分</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范围</w:t>
            </w:r>
          </w:p>
        </w:tc>
        <w:tc>
          <w:tcPr>
            <w:tcW w:w="614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仿宋_GB2312"/>
                <w:szCs w:val="21"/>
              </w:rPr>
            </w:pPr>
            <w:bookmarkStart w:id="9" w:name="EBaaec6e0efbd04fe5aaf01334c04785fd"/>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文件、工程量清单、图纸以及补充答疑文件全部内容。</w:t>
            </w:r>
            <w:bookmarkEnd w:id="9"/>
          </w:p>
        </w:tc>
      </w:tr>
      <w:tr>
        <w:tblPrEx>
          <w:tblCellMar>
            <w:top w:w="0" w:type="dxa"/>
            <w:left w:w="108" w:type="dxa"/>
            <w:bottom w:w="0" w:type="dxa"/>
            <w:right w:w="108" w:type="dxa"/>
          </w:tblCellMar>
        </w:tblPrEx>
        <w:trPr>
          <w:trHeight w:val="709"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6</w:t>
            </w:r>
          </w:p>
        </w:tc>
        <w:tc>
          <w:tcPr>
            <w:tcW w:w="22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仿宋_GB2312" w:eastAsia="仿宋_GB2312" w:cs="仿宋_GB2312"/>
              </w:rPr>
            </w:pPr>
            <w:r>
              <w:rPr>
                <w:rFonts w:hint="eastAsia" w:ascii="仿宋_GB2312" w:hAnsi="仿宋_GB2312" w:eastAsia="仿宋_GB2312" w:cs="仿宋_GB2312"/>
                <w:lang w:eastAsia="zh-CN"/>
              </w:rPr>
              <w:t>询价</w:t>
            </w:r>
            <w:r>
              <w:rPr>
                <w:rFonts w:hint="eastAsia" w:ascii="仿宋_GB2312" w:hAnsi="仿宋_GB2312" w:eastAsia="仿宋_GB2312" w:cs="仿宋_GB2312"/>
              </w:rPr>
              <w:t>控制价</w:t>
            </w:r>
          </w:p>
        </w:tc>
        <w:tc>
          <w:tcPr>
            <w:tcW w:w="6148" w:type="dxa"/>
            <w:tcBorders>
              <w:top w:val="single" w:color="auto" w:sz="4" w:space="0"/>
              <w:left w:val="single" w:color="auto" w:sz="4" w:space="0"/>
              <w:bottom w:val="single" w:color="auto" w:sz="4" w:space="0"/>
              <w:right w:val="single" w:color="auto" w:sz="4" w:space="0"/>
            </w:tcBorders>
            <w:vAlign w:val="center"/>
          </w:tcPr>
          <w:p>
            <w:pPr>
              <w:pStyle w:val="10"/>
              <w:wordWrap w:val="0"/>
              <w:topLinePunct/>
              <w:spacing w:line="560" w:lineRule="exact"/>
              <w:ind w:firstLine="2310" w:firstLineChars="1100"/>
              <w:rPr>
                <w:rFonts w:hint="eastAsia" w:ascii="仿宋_GB2312" w:hAnsi="仿宋_GB2312" w:eastAsia="仿宋_GB2312" w:cs="仿宋_GB2312"/>
                <w:kern w:val="2"/>
                <w:sz w:val="21"/>
                <w:szCs w:val="21"/>
                <w:highlight w:val="yellow"/>
                <w:lang w:val="en-US" w:eastAsia="zh-CN" w:bidi="ar-SA"/>
              </w:rPr>
            </w:pPr>
            <w:r>
              <w:rPr>
                <w:rFonts w:hint="eastAsia" w:ascii="仿宋_GB2312" w:hAnsi="仿宋_GB2312" w:eastAsia="仿宋_GB2312" w:cs="仿宋_GB2312"/>
                <w:szCs w:val="21"/>
                <w:lang w:val="en-US" w:eastAsia="zh-CN"/>
              </w:rPr>
              <w:t>详见标段划分</w:t>
            </w:r>
          </w:p>
        </w:tc>
      </w:tr>
      <w:tr>
        <w:tblPrEx>
          <w:tblCellMar>
            <w:top w:w="0" w:type="dxa"/>
            <w:left w:w="108" w:type="dxa"/>
            <w:bottom w:w="0" w:type="dxa"/>
            <w:right w:w="108"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7</w:t>
            </w:r>
          </w:p>
        </w:tc>
        <w:tc>
          <w:tcPr>
            <w:tcW w:w="22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仿宋_GB2312" w:eastAsia="仿宋_GB2312" w:cs="仿宋_GB2312"/>
              </w:rPr>
            </w:pPr>
            <w:r>
              <w:rPr>
                <w:rFonts w:hint="eastAsia" w:ascii="仿宋_GB2312" w:hAnsi="仿宋_GB2312" w:eastAsia="仿宋_GB2312" w:cs="仿宋_GB2312"/>
              </w:rPr>
              <w:t>计税方式</w:t>
            </w:r>
          </w:p>
        </w:tc>
        <w:tc>
          <w:tcPr>
            <w:tcW w:w="614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☑一般计税，提供增值税专用发票，</w:t>
            </w:r>
            <w:r>
              <w:rPr>
                <w:rFonts w:hint="eastAsia" w:ascii="仿宋_GB2312" w:hAnsi="仿宋_GB2312" w:eastAsia="仿宋_GB2312" w:cs="仿宋_GB2312"/>
                <w:szCs w:val="21"/>
                <w:lang w:val="en-US" w:eastAsia="zh-CN"/>
              </w:rPr>
              <w:t>执行国家最新税率标准。甲供材不计入承包人的增值税应纳税额。</w:t>
            </w:r>
          </w:p>
          <w:p>
            <w:pPr>
              <w:spacing w:line="380" w:lineRule="exact"/>
              <w:rPr>
                <w:rFonts w:hint="eastAsia" w:ascii="仿宋_GB2312" w:hAnsi="仿宋_GB2312" w:eastAsia="仿宋_GB2312" w:cs="仿宋_GB2312"/>
                <w:szCs w:val="21"/>
              </w:rPr>
            </w:pPr>
            <w:r>
              <w:rPr>
                <w:rFonts w:hint="eastAsia" w:ascii="仿宋_GB2312" w:hAnsi="仿宋_GB2312" w:eastAsia="仿宋_GB2312" w:cs="仿宋_GB2312"/>
                <w:szCs w:val="21"/>
              </w:rPr>
              <w:t>☒简易计税，提供增值税普通发票，税率为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tc>
      </w:tr>
      <w:tr>
        <w:tblPrEx>
          <w:tblCellMar>
            <w:top w:w="0" w:type="dxa"/>
            <w:left w:w="108" w:type="dxa"/>
            <w:bottom w:w="0" w:type="dxa"/>
            <w:right w:w="108" w:type="dxa"/>
          </w:tblCellMar>
        </w:tblPrEx>
        <w:trPr>
          <w:trHeight w:val="559"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8</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rPr>
            </w:pPr>
            <w:r>
              <w:rPr>
                <w:rFonts w:hint="eastAsia" w:ascii="仿宋_GB2312" w:hAnsi="仿宋_GB2312" w:eastAsia="仿宋_GB2312" w:cs="仿宋_GB2312"/>
                <w:szCs w:val="21"/>
              </w:rPr>
              <w:t>计价方式</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工程量清单综合单价计价法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综合费率计价法 ☒</w:t>
            </w:r>
          </w:p>
        </w:tc>
      </w:tr>
      <w:tr>
        <w:tblPrEx>
          <w:tblCellMar>
            <w:top w:w="0" w:type="dxa"/>
            <w:left w:w="108" w:type="dxa"/>
            <w:bottom w:w="0" w:type="dxa"/>
            <w:right w:w="108" w:type="dxa"/>
          </w:tblCellMar>
        </w:tblPrEx>
        <w:trPr>
          <w:trHeight w:val="68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22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仿宋_GB2312" w:eastAsia="仿宋_GB2312" w:cs="仿宋_GB2312"/>
              </w:rPr>
            </w:pPr>
            <w:r>
              <w:rPr>
                <w:rFonts w:hint="eastAsia" w:ascii="仿宋_GB2312" w:hAnsi="仿宋_GB2312" w:eastAsia="仿宋_GB2312" w:cs="仿宋_GB2312"/>
              </w:rPr>
              <w:t>计划工期</w:t>
            </w:r>
          </w:p>
        </w:tc>
        <w:tc>
          <w:tcPr>
            <w:tcW w:w="6148" w:type="dxa"/>
            <w:tcBorders>
              <w:top w:val="single" w:color="auto" w:sz="4" w:space="0"/>
              <w:left w:val="single" w:color="auto" w:sz="4" w:space="0"/>
              <w:bottom w:val="single" w:color="auto" w:sz="4" w:space="0"/>
              <w:right w:val="single" w:color="auto" w:sz="4" w:space="0"/>
            </w:tcBorders>
            <w:vAlign w:val="center"/>
          </w:tcPr>
          <w:p>
            <w:pPr>
              <w:pStyle w:val="7"/>
              <w:rPr>
                <w:rFonts w:hint="eastAsia" w:ascii="仿宋_GB2312" w:hAnsi="仿宋_GB2312" w:eastAsia="仿宋_GB2312" w:cs="仿宋_GB2312"/>
                <w:szCs w:val="21"/>
                <w:highlight w:val="yellow"/>
                <w:lang w:val="en-US" w:eastAsia="zh-CN"/>
              </w:rPr>
            </w:pPr>
            <w:r>
              <w:rPr>
                <w:rFonts w:hint="eastAsia" w:ascii="仿宋_GB2312" w:hAnsi="仿宋_GB2312" w:eastAsia="仿宋_GB2312" w:cs="仿宋_GB2312"/>
                <w:kern w:val="2"/>
                <w:sz w:val="21"/>
                <w:szCs w:val="21"/>
                <w:highlight w:val="yellow"/>
                <w:lang w:val="en-US" w:eastAsia="zh-CN" w:bidi="ar-SA"/>
              </w:rPr>
              <w:t>2个月，满足</w:t>
            </w:r>
            <w:r>
              <w:rPr>
                <w:rFonts w:hint="eastAsia" w:ascii="仿宋_GB2312" w:hAnsi="仿宋_GB2312" w:eastAsia="仿宋_GB2312" w:cs="仿宋_GB2312"/>
                <w:szCs w:val="21"/>
                <w:highlight w:val="yellow"/>
                <w:lang w:val="en-US" w:eastAsia="zh-CN"/>
              </w:rPr>
              <w:t>询价人及业主要求，逾期按“施工合同”标准进行处罚。</w:t>
            </w:r>
          </w:p>
          <w:p>
            <w:pPr>
              <w:pStyle w:val="7"/>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highlight w:val="yellow"/>
                <w:lang w:val="en-US" w:eastAsia="zh-CN"/>
              </w:rPr>
              <w:t>开工时间具体以业主及监理人签发的开工令为准。</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质量要求</w:t>
            </w:r>
          </w:p>
        </w:tc>
        <w:tc>
          <w:tcPr>
            <w:tcW w:w="614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szCs w:val="21"/>
              </w:rPr>
              <w:t>合格，满足</w:t>
            </w:r>
            <w:r>
              <w:rPr>
                <w:rFonts w:hint="eastAsia" w:ascii="仿宋_GB2312" w:hAnsi="仿宋_GB2312" w:eastAsia="仿宋_GB2312" w:cs="仿宋_GB2312"/>
                <w:szCs w:val="21"/>
                <w:lang w:val="en-US" w:eastAsia="zh-CN"/>
              </w:rPr>
              <w:t>施工</w:t>
            </w:r>
            <w:r>
              <w:rPr>
                <w:rFonts w:hint="eastAsia" w:ascii="仿宋_GB2312" w:hAnsi="仿宋_GB2312" w:eastAsia="仿宋_GB2312" w:cs="仿宋_GB2312"/>
                <w:szCs w:val="21"/>
              </w:rPr>
              <w:t>合同及业主要求</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投标人资质条件、能力</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详见</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公告</w:t>
            </w:r>
          </w:p>
        </w:tc>
      </w:tr>
      <w:tr>
        <w:tblPrEx>
          <w:tblCellMar>
            <w:top w:w="0" w:type="dxa"/>
            <w:left w:w="108" w:type="dxa"/>
            <w:bottom w:w="0" w:type="dxa"/>
            <w:right w:w="108" w:type="dxa"/>
          </w:tblCellMar>
        </w:tblPrEx>
        <w:trPr>
          <w:trHeight w:val="55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人员配备要求</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施工员、质量员、安全员、材料员各一人，并提供响应资格证书资料</w:t>
            </w:r>
          </w:p>
        </w:tc>
      </w:tr>
      <w:tr>
        <w:tblPrEx>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14</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是否接受联合体投标</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☑不接受                      ☒接受</w:t>
            </w:r>
          </w:p>
        </w:tc>
      </w:tr>
      <w:tr>
        <w:tblPrEx>
          <w:tblCellMar>
            <w:top w:w="0" w:type="dxa"/>
            <w:left w:w="108" w:type="dxa"/>
            <w:bottom w:w="0" w:type="dxa"/>
            <w:right w:w="108" w:type="dxa"/>
          </w:tblCellMar>
        </w:tblPrEx>
        <w:trPr>
          <w:trHeight w:val="217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踏勘现场</w:t>
            </w:r>
          </w:p>
        </w:tc>
        <w:tc>
          <w:tcPr>
            <w:tcW w:w="6148" w:type="dxa"/>
            <w:tcBorders>
              <w:top w:val="single" w:color="auto" w:sz="4" w:space="0"/>
              <w:left w:val="single" w:color="auto" w:sz="4" w:space="0"/>
              <w:bottom w:val="single" w:color="auto" w:sz="4" w:space="0"/>
              <w:right w:val="single" w:color="auto" w:sz="4" w:space="0"/>
            </w:tcBorders>
            <w:vAlign w:val="center"/>
          </w:tcPr>
          <w:p>
            <w:pPr>
              <w:pStyle w:val="6"/>
              <w:topLinePunct/>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Cs w:val="21"/>
              </w:rPr>
              <w:t>☒</w:t>
            </w:r>
            <w:r>
              <w:rPr>
                <w:rFonts w:hint="eastAsia" w:ascii="仿宋_GB2312" w:hAnsi="仿宋_GB2312" w:eastAsia="仿宋_GB2312" w:cs="仿宋_GB2312"/>
                <w:sz w:val="21"/>
                <w:szCs w:val="21"/>
              </w:rPr>
              <w:t xml:space="preserve">组织：  时间：      集合地点： </w:t>
            </w:r>
          </w:p>
          <w:p>
            <w:pPr>
              <w:pStyle w:val="6"/>
              <w:topLinePunct/>
              <w:spacing w:line="400" w:lineRule="exact"/>
              <w:ind w:firstLine="1050" w:firstLineChars="5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联系人：    联系方式：</w:t>
            </w:r>
          </w:p>
          <w:p>
            <w:pPr>
              <w:pStyle w:val="6"/>
              <w:topLinePunct/>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Cs w:val="21"/>
              </w:rPr>
              <w:t>☑</w:t>
            </w:r>
            <w:r>
              <w:rPr>
                <w:rFonts w:hint="eastAsia" w:ascii="仿宋_GB2312" w:hAnsi="仿宋_GB2312" w:eastAsia="仿宋_GB2312" w:cs="仿宋_GB2312"/>
                <w:sz w:val="21"/>
                <w:szCs w:val="21"/>
              </w:rPr>
              <w:t>不组织：请投标人自行踏勘现场，所产生的费用由投标人自理，并对其安全自行承担责任。凡参加投标，无论投标人是否踏勘现场，均视同其已踏勘。</w:t>
            </w:r>
          </w:p>
        </w:tc>
      </w:tr>
      <w:tr>
        <w:tblPrEx>
          <w:tblCellMar>
            <w:top w:w="0" w:type="dxa"/>
            <w:left w:w="108" w:type="dxa"/>
            <w:bottom w:w="0" w:type="dxa"/>
            <w:right w:w="108" w:type="dxa"/>
          </w:tblCellMar>
        </w:tblPrEx>
        <w:trPr>
          <w:trHeight w:val="61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投标预备会</w:t>
            </w:r>
          </w:p>
        </w:tc>
        <w:tc>
          <w:tcPr>
            <w:tcW w:w="6148" w:type="dxa"/>
            <w:tcBorders>
              <w:top w:val="single" w:color="auto" w:sz="4" w:space="0"/>
              <w:left w:val="single" w:color="auto" w:sz="4" w:space="0"/>
              <w:bottom w:val="single" w:color="auto" w:sz="4" w:space="0"/>
              <w:right w:val="single" w:color="auto" w:sz="4" w:space="0"/>
            </w:tcBorders>
            <w:vAlign w:val="center"/>
          </w:tcPr>
          <w:p>
            <w:pPr>
              <w:pStyle w:val="6"/>
              <w:topLinePunct/>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Cs w:val="21"/>
              </w:rPr>
              <w:t>☒</w:t>
            </w:r>
            <w:r>
              <w:rPr>
                <w:rFonts w:hint="eastAsia" w:ascii="仿宋_GB2312" w:hAnsi="仿宋_GB2312" w:eastAsia="仿宋_GB2312" w:cs="仿宋_GB2312"/>
                <w:sz w:val="21"/>
                <w:szCs w:val="21"/>
              </w:rPr>
              <w:t xml:space="preserve">召开  时 间：       地    点： </w:t>
            </w:r>
          </w:p>
          <w:p>
            <w:pPr>
              <w:pStyle w:val="6"/>
              <w:topLinePunct/>
              <w:spacing w:line="400" w:lineRule="exact"/>
              <w:ind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联系人：      联系方式：</w:t>
            </w:r>
          </w:p>
          <w:p>
            <w:pPr>
              <w:pStyle w:val="6"/>
              <w:topLinePunct/>
              <w:spacing w:line="400" w:lineRule="exact"/>
              <w:rPr>
                <w:rFonts w:hint="eastAsia" w:ascii="仿宋_GB2312" w:hAnsi="仿宋_GB2312" w:eastAsia="仿宋_GB2312" w:cs="仿宋_GB2312"/>
                <w:sz w:val="21"/>
                <w:szCs w:val="21"/>
              </w:rPr>
            </w:pPr>
            <w:r>
              <w:rPr>
                <w:rFonts w:hint="eastAsia" w:ascii="仿宋_GB2312" w:hAnsi="仿宋_GB2312" w:eastAsia="仿宋_GB2312" w:cs="仿宋_GB2312"/>
                <w:szCs w:val="21"/>
              </w:rPr>
              <w:t>☑</w:t>
            </w:r>
            <w:r>
              <w:rPr>
                <w:rFonts w:hint="eastAsia" w:ascii="仿宋_GB2312" w:hAnsi="仿宋_GB2312" w:eastAsia="仿宋_GB2312" w:cs="仿宋_GB2312"/>
                <w:sz w:val="21"/>
                <w:szCs w:val="21"/>
              </w:rPr>
              <w:t>不召开</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17</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构成</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文件</w:t>
            </w:r>
          </w:p>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的其他材料</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图纸、清单、控制价、补疑等，投标人收到后应自行查阅，发现漏页或不完整，应主动与</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相关部门联系，否则责任自负。</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22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hAnsi="仿宋_GB2312" w:eastAsia="仿宋_GB2312" w:cs="仿宋_GB2312"/>
                <w:szCs w:val="21"/>
              </w:rPr>
            </w:pPr>
            <w:r>
              <w:rPr>
                <w:rFonts w:hint="eastAsia" w:ascii="仿宋_GB2312" w:hAnsi="仿宋_GB2312" w:eastAsia="仿宋_GB2312" w:cs="仿宋_GB2312"/>
              </w:rPr>
              <w:t>投标人提出问题的截止时间</w:t>
            </w:r>
          </w:p>
        </w:tc>
        <w:tc>
          <w:tcPr>
            <w:tcW w:w="614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2022</w:t>
            </w:r>
            <w:r>
              <w:rPr>
                <w:rFonts w:hint="eastAsia" w:ascii="仿宋_GB2312" w:hAnsi="仿宋_GB2312" w:eastAsia="仿宋_GB2312" w:cs="仿宋_GB2312"/>
                <w:szCs w:val="21"/>
              </w:rPr>
              <w:t>年</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月</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日</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szCs w:val="21"/>
              </w:rPr>
              <w:t>时</w:t>
            </w:r>
            <w:r>
              <w:rPr>
                <w:rFonts w:hint="eastAsia" w:ascii="仿宋_GB2312" w:hAnsi="仿宋_GB2312" w:eastAsia="仿宋_GB2312" w:cs="仿宋_GB2312"/>
                <w:szCs w:val="21"/>
                <w:lang w:val="en-US" w:eastAsia="zh-CN"/>
              </w:rPr>
              <w:t>30分</w:t>
            </w:r>
            <w:r>
              <w:rPr>
                <w:rFonts w:hint="eastAsia" w:ascii="仿宋_GB2312" w:hAnsi="仿宋_GB2312" w:eastAsia="仿宋_GB2312" w:cs="仿宋_GB2312"/>
                <w:szCs w:val="21"/>
              </w:rPr>
              <w:t>。投标人未在规定时间内提出需要</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人澄清或答疑的，视同对</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文件全部内容的知晓、理解和接受，开标后不得就</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文件所列内容提出质疑、投诉等；</w:t>
            </w:r>
            <w:r>
              <w:rPr>
                <w:rFonts w:hint="eastAsia" w:ascii="仿宋_GB2312" w:hAnsi="仿宋_GB2312" w:eastAsia="仿宋_GB2312" w:cs="仿宋_GB2312"/>
                <w:kern w:val="0"/>
                <w:szCs w:val="21"/>
              </w:rPr>
              <w:t>中标后签订合同时和履约过程中，也不得以未深入研究</w:t>
            </w:r>
            <w:r>
              <w:rPr>
                <w:rFonts w:hint="eastAsia" w:ascii="仿宋_GB2312" w:hAnsi="仿宋_GB2312" w:eastAsia="仿宋_GB2312" w:cs="仿宋_GB2312"/>
                <w:kern w:val="0"/>
                <w:szCs w:val="21"/>
                <w:lang w:eastAsia="zh-CN"/>
              </w:rPr>
              <w:t>询价</w:t>
            </w:r>
            <w:r>
              <w:rPr>
                <w:rFonts w:hint="eastAsia" w:ascii="仿宋_GB2312" w:hAnsi="仿宋_GB2312" w:eastAsia="仿宋_GB2312" w:cs="仿宋_GB2312"/>
                <w:kern w:val="0"/>
                <w:szCs w:val="21"/>
              </w:rPr>
              <w:t>文件为由提出任何形式的增加合同价款或索赔的要求</w:t>
            </w:r>
            <w:r>
              <w:rPr>
                <w:rFonts w:hint="eastAsia" w:ascii="仿宋_GB2312" w:hAnsi="仿宋_GB2312" w:eastAsia="仿宋_GB2312" w:cs="仿宋_GB2312"/>
                <w:szCs w:val="21"/>
              </w:rPr>
              <w:t>。</w:t>
            </w:r>
          </w:p>
        </w:tc>
      </w:tr>
      <w:tr>
        <w:tblPrEx>
          <w:tblCellMar>
            <w:top w:w="0" w:type="dxa"/>
            <w:left w:w="108" w:type="dxa"/>
            <w:bottom w:w="0" w:type="dxa"/>
            <w:right w:w="108" w:type="dxa"/>
          </w:tblCellMar>
        </w:tblPrEx>
        <w:trPr>
          <w:trHeight w:val="61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19</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投标有效期</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投标文件提交截止时间后：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60</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天内有效   </w:t>
            </w:r>
          </w:p>
        </w:tc>
      </w:tr>
      <w:tr>
        <w:tblPrEx>
          <w:tblCellMar>
            <w:top w:w="0" w:type="dxa"/>
            <w:left w:w="108" w:type="dxa"/>
            <w:bottom w:w="0" w:type="dxa"/>
            <w:right w:w="108" w:type="dxa"/>
          </w:tblCellMar>
        </w:tblPrEx>
        <w:trPr>
          <w:trHeight w:val="44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投标保证金</w:t>
            </w:r>
          </w:p>
        </w:tc>
        <w:tc>
          <w:tcPr>
            <w:tcW w:w="614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人民币</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万元（¥：</w:t>
            </w:r>
            <w:r>
              <w:rPr>
                <w:rFonts w:hint="eastAsia" w:ascii="仿宋_GB2312" w:hAnsi="仿宋_GB2312" w:eastAsia="仿宋_GB2312" w:cs="仿宋_GB2312"/>
                <w:szCs w:val="21"/>
                <w:lang w:val="en-US" w:eastAsia="zh-CN"/>
              </w:rPr>
              <w:t>10000.00元</w:t>
            </w:r>
            <w:r>
              <w:rPr>
                <w:rFonts w:hint="eastAsia" w:ascii="仿宋_GB2312" w:hAnsi="仿宋_GB2312" w:eastAsia="仿宋_GB2312" w:cs="仿宋_GB2312"/>
                <w:szCs w:val="21"/>
              </w:rPr>
              <w:t>），账户信息及缴纳要求等见</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公告。</w:t>
            </w:r>
          </w:p>
          <w:p>
            <w:pPr>
              <w:spacing w:line="380" w:lineRule="exact"/>
              <w:ind w:firstLine="420" w:firstLineChars="200"/>
              <w:rPr>
                <w:rFonts w:hint="default"/>
                <w:lang w:val="en-US" w:eastAsia="zh-CN"/>
              </w:rPr>
            </w:pPr>
            <w:r>
              <w:rPr>
                <w:rFonts w:hint="eastAsia" w:ascii="仿宋_GB2312" w:hAnsi="仿宋_GB2312" w:eastAsia="仿宋_GB2312" w:cs="仿宋_GB2312"/>
                <w:szCs w:val="21"/>
              </w:rPr>
              <w:t>投标保证金必须从投标人基本账户转出。</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人不接收以现金或汇票形式递交的投标保证金；投标保证金缴纳人名称与投标人名称必须一致，其分公司或子公司代缴投标保证金，均视同名称不一致。投标保证金缴纳人名称与投标人名称不一致的，投标无效。</w:t>
            </w:r>
            <w:r>
              <w:rPr>
                <w:rFonts w:hint="eastAsia" w:ascii="仿宋_GB2312" w:hAnsi="仿宋_GB2312" w:eastAsia="仿宋_GB2312" w:cs="仿宋_GB2312"/>
                <w:szCs w:val="21"/>
                <w:lang w:val="en-US" w:eastAsia="zh-CN"/>
              </w:rPr>
              <w:t>中标后转为履约保证金</w:t>
            </w:r>
          </w:p>
        </w:tc>
      </w:tr>
      <w:tr>
        <w:tblPrEx>
          <w:tblCellMar>
            <w:top w:w="0" w:type="dxa"/>
            <w:left w:w="108" w:type="dxa"/>
            <w:bottom w:w="0" w:type="dxa"/>
            <w:right w:w="108" w:type="dxa"/>
          </w:tblCellMar>
        </w:tblPrEx>
        <w:trPr>
          <w:trHeight w:val="55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21</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签字或盖章要求</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投标文件签字盖章齐备，符合</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文件要求。</w:t>
            </w:r>
          </w:p>
        </w:tc>
      </w:tr>
      <w:tr>
        <w:tblPrEx>
          <w:tblCellMar>
            <w:top w:w="0" w:type="dxa"/>
            <w:left w:w="108" w:type="dxa"/>
            <w:bottom w:w="0" w:type="dxa"/>
            <w:right w:w="108" w:type="dxa"/>
          </w:tblCellMar>
        </w:tblPrEx>
        <w:trPr>
          <w:trHeight w:val="1330" w:hRule="atLeast"/>
        </w:trPr>
        <w:tc>
          <w:tcPr>
            <w:tcW w:w="851" w:type="dxa"/>
            <w:tcBorders>
              <w:top w:val="single" w:color="auto" w:sz="4" w:space="0"/>
              <w:left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22</w:t>
            </w:r>
          </w:p>
        </w:tc>
        <w:tc>
          <w:tcPr>
            <w:tcW w:w="2216" w:type="dxa"/>
            <w:tcBorders>
              <w:top w:val="single" w:color="auto" w:sz="4" w:space="0"/>
              <w:left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投标文件份数</w:t>
            </w:r>
          </w:p>
        </w:tc>
        <w:tc>
          <w:tcPr>
            <w:tcW w:w="6148" w:type="dxa"/>
            <w:tcBorders>
              <w:top w:val="single" w:color="auto" w:sz="4" w:space="0"/>
              <w:left w:val="single" w:color="auto" w:sz="4" w:space="0"/>
              <w:right w:val="single" w:color="auto" w:sz="4" w:space="0"/>
            </w:tcBorders>
            <w:vAlign w:val="center"/>
          </w:tcPr>
          <w:p>
            <w:pPr>
              <w:spacing w:line="440" w:lineRule="exac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正本</w:t>
            </w:r>
            <w:r>
              <w:rPr>
                <w:rFonts w:hint="eastAsia" w:ascii="仿宋_GB2312" w:hAnsi="仿宋_GB2312" w:eastAsia="仿宋_GB2312" w:cs="仿宋_GB2312"/>
                <w:szCs w:val="21"/>
                <w:u w:val="single"/>
              </w:rPr>
              <w:t>壹</w:t>
            </w:r>
            <w:r>
              <w:rPr>
                <w:rFonts w:hint="eastAsia" w:ascii="仿宋_GB2312" w:hAnsi="仿宋_GB2312" w:eastAsia="仿宋_GB2312" w:cs="仿宋_GB2312"/>
                <w:szCs w:val="21"/>
              </w:rPr>
              <w:t>份，副本</w:t>
            </w:r>
            <w:r>
              <w:rPr>
                <w:rFonts w:hint="eastAsia" w:ascii="仿宋_GB2312" w:hAnsi="仿宋_GB2312" w:eastAsia="仿宋_GB2312" w:cs="仿宋_GB2312"/>
                <w:szCs w:val="21"/>
                <w:u w:val="single"/>
                <w:lang w:val="en-US" w:eastAsia="zh-CN"/>
              </w:rPr>
              <w:t>壹</w:t>
            </w:r>
            <w:r>
              <w:rPr>
                <w:rFonts w:hint="eastAsia" w:ascii="仿宋_GB2312" w:hAnsi="仿宋_GB2312" w:eastAsia="仿宋_GB2312" w:cs="仿宋_GB2312"/>
                <w:szCs w:val="21"/>
              </w:rPr>
              <w:t>份（需密封，</w:t>
            </w:r>
            <w:r>
              <w:rPr>
                <w:rFonts w:hint="eastAsia" w:ascii="仿宋_GB2312" w:hAnsi="仿宋_GB2312" w:eastAsia="仿宋_GB2312" w:cs="仿宋_GB2312"/>
                <w:szCs w:val="21"/>
                <w:lang w:val="en-US" w:eastAsia="zh-CN"/>
              </w:rPr>
              <w:t>电子版文件</w:t>
            </w:r>
            <w:r>
              <w:rPr>
                <w:rFonts w:hint="eastAsia" w:ascii="仿宋_GB2312" w:hAnsi="仿宋_GB2312" w:eastAsia="仿宋_GB2312" w:cs="仿宋_GB2312"/>
                <w:szCs w:val="21"/>
              </w:rPr>
              <w:t>随</w:t>
            </w:r>
            <w:r>
              <w:rPr>
                <w:rFonts w:hint="eastAsia" w:ascii="仿宋_GB2312" w:hAnsi="仿宋_GB2312" w:eastAsia="仿宋_GB2312" w:cs="仿宋_GB2312"/>
                <w:szCs w:val="21"/>
                <w:lang w:eastAsia="zh-CN"/>
              </w:rPr>
              <w:t>文件</w:t>
            </w:r>
            <w:r>
              <w:rPr>
                <w:rFonts w:hint="eastAsia" w:ascii="仿宋_GB2312" w:hAnsi="仿宋_GB2312" w:eastAsia="仿宋_GB2312" w:cs="仿宋_GB2312"/>
                <w:szCs w:val="21"/>
              </w:rPr>
              <w:t>正本提交）。正副本内容不一致时，以正本为准</w:t>
            </w:r>
            <w:r>
              <w:rPr>
                <w:rFonts w:hint="eastAsia" w:ascii="仿宋_GB2312" w:hAnsi="仿宋_GB2312" w:eastAsia="仿宋_GB2312" w:cs="仿宋_GB2312"/>
                <w:szCs w:val="21"/>
                <w:lang w:eastAsia="zh-CN"/>
              </w:rPr>
              <w:t>。</w:t>
            </w:r>
          </w:p>
          <w:p>
            <w:pPr>
              <w:pStyle w:val="5"/>
              <w:ind w:firstLine="420" w:firstLineChars="200"/>
              <w:rPr>
                <w:rFonts w:hint="eastAsia" w:ascii="仿宋_GB2312" w:hAnsi="仿宋_GB2312" w:eastAsia="仿宋_GB2312" w:cs="仿宋_GB2312"/>
                <w:szCs w:val="21"/>
              </w:rPr>
            </w:pP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23</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装订包封要求</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投标文件正副本密封在同一密封袋，封口处须密封并加盖企业公章及法人章或授权代表签字</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封套上应载明的信息</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shd w:val="clear" w:color="FFFFFF" w:fill="D9D9D9"/>
              </w:rPr>
            </w:pPr>
            <w:r>
              <w:rPr>
                <w:rFonts w:hint="eastAsia" w:ascii="仿宋_GB2312" w:hAnsi="仿宋_GB2312" w:eastAsia="仿宋_GB2312" w:cs="仿宋_GB2312"/>
                <w:szCs w:val="21"/>
              </w:rPr>
              <w:t>1、项目名称  2、</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人名称3、投标人名称。</w:t>
            </w:r>
          </w:p>
          <w:p>
            <w:pPr>
              <w:spacing w:line="440" w:lineRule="exact"/>
              <w:ind w:firstLine="630" w:firstLineChars="300"/>
              <w:rPr>
                <w:rFonts w:hint="eastAsia" w:ascii="仿宋_GB2312" w:hAnsi="仿宋_GB2312" w:eastAsia="仿宋_GB2312" w:cs="仿宋_GB2312"/>
                <w:szCs w:val="21"/>
              </w:rPr>
            </w:pPr>
            <w:r>
              <w:rPr>
                <w:rFonts w:hint="eastAsia" w:ascii="仿宋_GB2312" w:hAnsi="仿宋_GB2312" w:eastAsia="仿宋_GB2312" w:cs="仿宋_GB2312"/>
                <w:szCs w:val="21"/>
              </w:rPr>
              <w:t>在</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分（投标截止时间）前不得开启</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是否退还投标文件</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仿宋_GB2312" w:eastAsia="仿宋_GB2312" w:cs="仿宋_GB2312"/>
                <w:szCs w:val="21"/>
              </w:rPr>
            </w:pPr>
            <w:r>
              <w:rPr>
                <w:rFonts w:hint="eastAsia" w:ascii="仿宋_GB2312" w:hAnsi="仿宋_GB2312" w:eastAsia="仿宋_GB2312" w:cs="仿宋_GB2312"/>
                <w:szCs w:val="21"/>
              </w:rPr>
              <w:t>否</w:t>
            </w:r>
          </w:p>
        </w:tc>
      </w:tr>
      <w:tr>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26</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递交投标文件（开标）的时间和地点</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递交投标文件截止（开标）时间：</w:t>
            </w:r>
            <w:r>
              <w:rPr>
                <w:rFonts w:hint="eastAsia" w:ascii="仿宋_GB2312" w:hAnsi="仿宋_GB2312" w:eastAsia="仿宋_GB2312" w:cs="仿宋_GB2312"/>
                <w:szCs w:val="21"/>
                <w:highlight w:val="yellow"/>
                <w:lang w:val="en-US" w:eastAsia="zh-CN"/>
              </w:rPr>
              <w:t>2022</w:t>
            </w:r>
            <w:r>
              <w:rPr>
                <w:rFonts w:hint="eastAsia" w:ascii="仿宋_GB2312" w:hAnsi="仿宋_GB2312" w:eastAsia="仿宋_GB2312" w:cs="仿宋_GB2312"/>
                <w:szCs w:val="21"/>
                <w:highlight w:val="yellow"/>
              </w:rPr>
              <w:t>年</w:t>
            </w:r>
            <w:r>
              <w:rPr>
                <w:rFonts w:hint="eastAsia" w:ascii="仿宋_GB2312" w:hAnsi="仿宋_GB2312" w:eastAsia="仿宋_GB2312" w:cs="仿宋_GB2312"/>
                <w:szCs w:val="21"/>
                <w:highlight w:val="yellow"/>
                <w:lang w:val="en-US" w:eastAsia="zh-CN"/>
              </w:rPr>
              <w:t>4</w:t>
            </w:r>
            <w:r>
              <w:rPr>
                <w:rFonts w:hint="eastAsia" w:ascii="仿宋_GB2312" w:hAnsi="仿宋_GB2312" w:eastAsia="仿宋_GB2312" w:cs="仿宋_GB2312"/>
                <w:szCs w:val="21"/>
                <w:highlight w:val="yellow"/>
              </w:rPr>
              <w:t>月</w:t>
            </w:r>
            <w:r>
              <w:rPr>
                <w:rFonts w:hint="eastAsia" w:ascii="仿宋_GB2312" w:hAnsi="仿宋_GB2312" w:eastAsia="仿宋_GB2312" w:cs="仿宋_GB2312"/>
                <w:szCs w:val="21"/>
                <w:highlight w:val="yellow"/>
                <w:lang w:val="en-US" w:eastAsia="zh-CN"/>
              </w:rPr>
              <w:t>6</w:t>
            </w:r>
            <w:r>
              <w:rPr>
                <w:rFonts w:hint="eastAsia" w:ascii="仿宋_GB2312" w:hAnsi="仿宋_GB2312" w:eastAsia="仿宋_GB2312" w:cs="仿宋_GB2312"/>
                <w:szCs w:val="21"/>
                <w:highlight w:val="yellow"/>
              </w:rPr>
              <w:t>日</w:t>
            </w:r>
            <w:r>
              <w:rPr>
                <w:rFonts w:hint="eastAsia" w:ascii="仿宋_GB2312" w:hAnsi="仿宋_GB2312" w:eastAsia="仿宋_GB2312" w:cs="仿宋_GB2312"/>
                <w:szCs w:val="21"/>
                <w:highlight w:val="yellow"/>
                <w:lang w:val="en-US" w:eastAsia="zh-CN"/>
              </w:rPr>
              <w:t>10时30分</w:t>
            </w:r>
            <w:r>
              <w:rPr>
                <w:rFonts w:hint="eastAsia" w:ascii="仿宋_GB2312" w:hAnsi="仿宋_GB2312" w:eastAsia="仿宋_GB2312" w:cs="仿宋_GB2312"/>
                <w:szCs w:val="21"/>
                <w:highlight w:val="yellow"/>
              </w:rPr>
              <w:t>时逾期送达、</w:t>
            </w:r>
            <w:r>
              <w:rPr>
                <w:rFonts w:hint="eastAsia" w:ascii="仿宋_GB2312" w:hAnsi="仿宋_GB2312" w:eastAsia="仿宋_GB2312" w:cs="仿宋_GB2312"/>
                <w:szCs w:val="21"/>
              </w:rPr>
              <w:t>未按照要求密封或不符合</w:t>
            </w:r>
            <w:r>
              <w:rPr>
                <w:rFonts w:hint="eastAsia" w:ascii="仿宋_GB2312" w:hAnsi="仿宋_GB2312" w:eastAsia="仿宋_GB2312" w:cs="仿宋_GB2312"/>
                <w:szCs w:val="21"/>
                <w:lang w:eastAsia="zh-CN"/>
              </w:rPr>
              <w:t>询价</w:t>
            </w:r>
            <w:r>
              <w:rPr>
                <w:rFonts w:hint="eastAsia" w:ascii="仿宋_GB2312" w:hAnsi="仿宋_GB2312" w:eastAsia="仿宋_GB2312" w:cs="仿宋_GB2312"/>
                <w:szCs w:val="21"/>
              </w:rPr>
              <w:t>文件要求的、法定代表人或授权委托人未携带身份证或其他法定证明身份证件的，其投标文件将被拒收或否决。</w:t>
            </w:r>
          </w:p>
          <w:p>
            <w:pPr>
              <w:spacing w:line="4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地点：安徽省合肥市蜀山区甘泉路398号</w:t>
            </w:r>
            <w:r>
              <w:rPr>
                <w:rFonts w:hint="eastAsia" w:ascii="仿宋_GB2312" w:hAnsi="仿宋_GB2312" w:eastAsia="仿宋_GB2312" w:cs="仿宋_GB2312"/>
                <w:szCs w:val="21"/>
                <w:lang w:val="en-US" w:eastAsia="zh-CN"/>
              </w:rPr>
              <w:t>经工</w:t>
            </w:r>
            <w:r>
              <w:rPr>
                <w:rFonts w:hint="eastAsia" w:ascii="仿宋_GB2312" w:hAnsi="仿宋_GB2312" w:eastAsia="仿宋_GB2312" w:cs="仿宋_GB2312"/>
                <w:szCs w:val="21"/>
              </w:rPr>
              <w:t>集团</w:t>
            </w:r>
            <w:r>
              <w:rPr>
                <w:rFonts w:hint="eastAsia" w:ascii="仿宋_GB2312" w:hAnsi="仿宋_GB2312" w:eastAsia="仿宋_GB2312" w:cs="仿宋_GB2312"/>
                <w:szCs w:val="21"/>
                <w:lang w:val="en-US" w:eastAsia="zh-CN"/>
              </w:rPr>
              <w:t>二</w:t>
            </w:r>
            <w:r>
              <w:rPr>
                <w:rFonts w:hint="eastAsia" w:ascii="仿宋_GB2312" w:hAnsi="仿宋_GB2312" w:eastAsia="仿宋_GB2312" w:cs="仿宋_GB2312"/>
                <w:szCs w:val="21"/>
              </w:rPr>
              <w:t>楼大会议室</w:t>
            </w:r>
          </w:p>
        </w:tc>
      </w:tr>
      <w:tr>
        <w:tblPrEx>
          <w:tblCellMar>
            <w:top w:w="0" w:type="dxa"/>
            <w:left w:w="108" w:type="dxa"/>
            <w:bottom w:w="0" w:type="dxa"/>
            <w:right w:w="108" w:type="dxa"/>
          </w:tblCellMar>
        </w:tblPrEx>
        <w:trPr>
          <w:trHeight w:val="55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27</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开标程序</w:t>
            </w:r>
          </w:p>
        </w:tc>
        <w:tc>
          <w:tcPr>
            <w:tcW w:w="614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密封情况检查：宣布开标后，投标人代表互检投标文件密封及递交情况，并就检查结果明确意见。开标顺序按照投标签到先后顺序</w:t>
            </w:r>
            <w:r>
              <w:rPr>
                <w:rFonts w:hint="eastAsia" w:ascii="仿宋_GB2312" w:hAnsi="仿宋_GB2312" w:eastAsia="仿宋_GB2312" w:cs="仿宋_GB2312"/>
                <w:szCs w:val="21"/>
                <w:lang w:eastAsia="zh-CN"/>
              </w:rPr>
              <w:t>。</w:t>
            </w:r>
          </w:p>
        </w:tc>
      </w:tr>
      <w:tr>
        <w:tblPrEx>
          <w:tblCellMar>
            <w:top w:w="0" w:type="dxa"/>
            <w:left w:w="108" w:type="dxa"/>
            <w:bottom w:w="0" w:type="dxa"/>
            <w:right w:w="108" w:type="dxa"/>
          </w:tblCellMar>
        </w:tblPrEx>
        <w:trPr>
          <w:trHeight w:val="381" w:hRule="atLeast"/>
        </w:trPr>
        <w:tc>
          <w:tcPr>
            <w:tcW w:w="851" w:type="dxa"/>
            <w:tcBorders>
              <w:top w:val="single" w:color="auto" w:sz="4" w:space="0"/>
              <w:left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28</w:t>
            </w:r>
          </w:p>
        </w:tc>
        <w:tc>
          <w:tcPr>
            <w:tcW w:w="2216" w:type="dxa"/>
            <w:tcBorders>
              <w:top w:val="single" w:color="auto" w:sz="4" w:space="0"/>
              <w:left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评标办法</w:t>
            </w:r>
          </w:p>
        </w:tc>
        <w:tc>
          <w:tcPr>
            <w:tcW w:w="6148" w:type="dxa"/>
            <w:tcBorders>
              <w:top w:val="single" w:color="auto" w:sz="4" w:space="0"/>
              <w:left w:val="single" w:color="auto" w:sz="4" w:space="0"/>
              <w:right w:val="single" w:color="auto" w:sz="4" w:space="0"/>
            </w:tcBorders>
            <w:vAlign w:val="center"/>
          </w:tcPr>
          <w:p>
            <w:pPr>
              <w:spacing w:line="440" w:lineRule="exact"/>
              <w:ind w:firstLine="210" w:firstLineChars="100"/>
              <w:jc w:val="left"/>
              <w:rPr>
                <w:rFonts w:hint="eastAsia" w:ascii="仿宋_GB2312" w:hAnsi="仿宋_GB2312" w:eastAsia="仿宋_GB2312" w:cs="仿宋_GB2312"/>
                <w:szCs w:val="21"/>
              </w:rPr>
            </w:pPr>
            <w:r>
              <w:rPr>
                <w:rFonts w:hint="eastAsia" w:ascii="仿宋_GB2312" w:hAnsi="仿宋_GB2312" w:eastAsia="仿宋_GB2312" w:cs="仿宋_GB2312"/>
                <w:szCs w:val="21"/>
              </w:rPr>
              <w:t>最低评标价法（A类）</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综合评分法</w:t>
            </w:r>
            <w:r>
              <w:rPr>
                <w:rFonts w:hint="eastAsia" w:ascii="仿宋_GB2312" w:hAnsi="仿宋_GB2312" w:eastAsia="仿宋_GB2312" w:cs="仿宋_GB2312"/>
                <w:szCs w:val="21"/>
              </w:rPr>
              <w:t>（B类）☒</w:t>
            </w:r>
          </w:p>
          <w:p>
            <w:pPr>
              <w:spacing w:line="4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三阶段评审法（C1类）☒   三阶段评审法（C2类）☒</w:t>
            </w:r>
          </w:p>
        </w:tc>
      </w:tr>
      <w:tr>
        <w:tblPrEx>
          <w:tblCellMar>
            <w:top w:w="0" w:type="dxa"/>
            <w:left w:w="108" w:type="dxa"/>
            <w:bottom w:w="0" w:type="dxa"/>
            <w:right w:w="108" w:type="dxa"/>
          </w:tblCellMar>
        </w:tblPrEx>
        <w:trPr>
          <w:trHeight w:val="791" w:hRule="atLeast"/>
        </w:trPr>
        <w:tc>
          <w:tcPr>
            <w:tcW w:w="851" w:type="dxa"/>
            <w:tcBorders>
              <w:top w:val="single" w:color="auto" w:sz="4" w:space="0"/>
              <w:left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29</w:t>
            </w:r>
          </w:p>
        </w:tc>
        <w:tc>
          <w:tcPr>
            <w:tcW w:w="2216" w:type="dxa"/>
            <w:tcBorders>
              <w:top w:val="single" w:color="auto" w:sz="4" w:space="0"/>
              <w:left w:val="single" w:color="auto" w:sz="4" w:space="0"/>
              <w:right w:val="single" w:color="auto" w:sz="4" w:space="0"/>
            </w:tcBorders>
            <w:vAlign w:val="center"/>
          </w:tcPr>
          <w:p>
            <w:pPr>
              <w:spacing w:line="4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中标候选人数量</w:t>
            </w:r>
          </w:p>
        </w:tc>
        <w:tc>
          <w:tcPr>
            <w:tcW w:w="6148" w:type="dxa"/>
            <w:tcBorders>
              <w:top w:val="single" w:color="auto" w:sz="4" w:space="0"/>
              <w:left w:val="single" w:color="auto" w:sz="4" w:space="0"/>
              <w:right w:val="single" w:color="auto" w:sz="4" w:space="0"/>
            </w:tcBorders>
            <w:vAlign w:val="center"/>
          </w:tcPr>
          <w:p>
            <w:pPr>
              <w:spacing w:line="4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每标段由评标委员会（小组）推荐不超过</w:t>
            </w:r>
            <w:r>
              <w:rPr>
                <w:rFonts w:hint="eastAsia" w:ascii="仿宋_GB2312" w:hAnsi="仿宋_GB2312" w:eastAsia="仿宋_GB2312" w:cs="仿宋_GB2312"/>
                <w:szCs w:val="21"/>
                <w:u w:val="single"/>
                <w:lang w:val="en-US" w:eastAsia="zh-CN"/>
              </w:rPr>
              <w:t>3</w:t>
            </w:r>
            <w:r>
              <w:rPr>
                <w:rFonts w:hint="eastAsia" w:ascii="仿宋_GB2312" w:hAnsi="仿宋_GB2312" w:eastAsia="仿宋_GB2312" w:cs="仿宋_GB2312"/>
                <w:szCs w:val="21"/>
              </w:rPr>
              <w:t>家中标候选单位</w:t>
            </w:r>
          </w:p>
        </w:tc>
      </w:tr>
      <w:tr>
        <w:tblPrEx>
          <w:tblCellMar>
            <w:top w:w="0" w:type="dxa"/>
            <w:left w:w="108" w:type="dxa"/>
            <w:bottom w:w="0" w:type="dxa"/>
            <w:right w:w="108" w:type="dxa"/>
          </w:tblCellMar>
        </w:tblPrEx>
        <w:trPr>
          <w:trHeight w:val="412" w:hRule="atLeast"/>
        </w:trPr>
        <w:tc>
          <w:tcPr>
            <w:tcW w:w="851" w:type="dxa"/>
            <w:tcBorders>
              <w:top w:val="single" w:color="auto" w:sz="4" w:space="0"/>
              <w:left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31</w:t>
            </w:r>
          </w:p>
        </w:tc>
        <w:tc>
          <w:tcPr>
            <w:tcW w:w="2216" w:type="dxa"/>
            <w:tcBorders>
              <w:top w:val="single" w:color="auto" w:sz="4" w:space="0"/>
              <w:left w:val="single" w:color="auto" w:sz="4" w:space="0"/>
              <w:right w:val="single" w:color="auto" w:sz="4" w:space="0"/>
            </w:tcBorders>
            <w:vAlign w:val="center"/>
          </w:tcPr>
          <w:p>
            <w:pPr>
              <w:spacing w:line="4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szCs w:val="21"/>
                <w:highlight w:val="none"/>
              </w:rPr>
              <w:t>履约保证金</w:t>
            </w:r>
          </w:p>
        </w:tc>
        <w:tc>
          <w:tcPr>
            <w:tcW w:w="6148" w:type="dxa"/>
            <w:tcBorders>
              <w:top w:val="single" w:color="auto" w:sz="4" w:space="0"/>
              <w:left w:val="single" w:color="auto" w:sz="4" w:space="0"/>
              <w:right w:val="single" w:color="auto" w:sz="4" w:space="0"/>
            </w:tcBorders>
            <w:vAlign w:val="center"/>
          </w:tcPr>
          <w:p>
            <w:pPr>
              <w:numPr>
                <w:ilvl w:val="0"/>
                <w:numId w:val="5"/>
              </w:numPr>
              <w:spacing w:line="36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数额：</w:t>
            </w:r>
            <w:r>
              <w:rPr>
                <w:rFonts w:hint="eastAsia" w:ascii="仿宋_GB2312" w:hAnsi="仿宋_GB2312" w:eastAsia="仿宋_GB2312" w:cs="仿宋_GB2312"/>
                <w:szCs w:val="21"/>
                <w:lang w:val="en-US" w:eastAsia="zh-CN"/>
              </w:rPr>
              <w:t xml:space="preserve"> 壹万元整</w:t>
            </w:r>
          </w:p>
          <w:p>
            <w:pPr>
              <w:numPr>
                <w:ilvl w:val="0"/>
                <w:numId w:val="0"/>
              </w:numPr>
              <w:spacing w:line="360" w:lineRule="exac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2、提交时限：</w:t>
            </w:r>
            <w:r>
              <w:rPr>
                <w:rFonts w:hint="eastAsia" w:ascii="仿宋_GB2312" w:hAnsi="仿宋_GB2312" w:eastAsia="仿宋_GB2312" w:cs="仿宋_GB2312"/>
                <w:szCs w:val="21"/>
                <w:lang w:eastAsia="zh-CN"/>
              </w:rPr>
              <w:t>合同签订前</w:t>
            </w:r>
          </w:p>
          <w:p>
            <w:pPr>
              <w:spacing w:line="36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3、返还时间：</w:t>
            </w:r>
            <w:r>
              <w:rPr>
                <w:rFonts w:hint="eastAsia" w:ascii="仿宋_GB2312" w:hAnsi="仿宋_GB2312" w:eastAsia="仿宋_GB2312" w:cs="仿宋_GB2312"/>
                <w:szCs w:val="21"/>
                <w:lang w:eastAsia="zh-CN"/>
              </w:rPr>
              <w:t>竣工验收合格</w:t>
            </w:r>
            <w:r>
              <w:rPr>
                <w:rFonts w:hint="eastAsia" w:ascii="仿宋_GB2312" w:hAnsi="仿宋_GB2312" w:eastAsia="仿宋_GB2312" w:cs="仿宋_GB2312"/>
                <w:szCs w:val="21"/>
                <w:lang w:val="en-US" w:eastAsia="zh-CN"/>
              </w:rPr>
              <w:t>60日内</w:t>
            </w:r>
          </w:p>
          <w:p>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4、账户信息如下：</w:t>
            </w:r>
          </w:p>
          <w:p>
            <w:pPr>
              <w:spacing w:line="360" w:lineRule="exac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lang w:eastAsia="zh-CN"/>
              </w:rPr>
              <w:t>安徽省经工建设集团有限公司</w:t>
            </w:r>
          </w:p>
          <w:p>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r>
              <w:rPr>
                <w:rFonts w:hint="eastAsia" w:ascii="仿宋_GB2312" w:hAnsi="仿宋_GB2312" w:eastAsia="仿宋_GB2312" w:cs="仿宋_GB2312"/>
                <w:szCs w:val="21"/>
                <w:lang w:eastAsia="zh-CN"/>
              </w:rPr>
              <w:t>工行合肥东陈岗支行（分理处）</w:t>
            </w:r>
          </w:p>
          <w:p>
            <w:pPr>
              <w:spacing w:line="360" w:lineRule="exac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银行账号：</w:t>
            </w:r>
            <w:r>
              <w:rPr>
                <w:rFonts w:hint="eastAsia" w:ascii="仿宋_GB2312" w:hAnsi="仿宋_GB2312" w:eastAsia="仿宋_GB2312" w:cs="仿宋_GB2312"/>
                <w:szCs w:val="21"/>
                <w:lang w:eastAsia="zh-CN"/>
              </w:rPr>
              <w:t>1302012109026700213</w:t>
            </w:r>
          </w:p>
          <w:p>
            <w:pPr>
              <w:spacing w:line="360" w:lineRule="exact"/>
              <w:rPr>
                <w:rFonts w:hint="eastAsia"/>
              </w:rPr>
            </w:pPr>
            <w:r>
              <w:rPr>
                <w:rFonts w:hint="eastAsia" w:ascii="仿宋_GB2312" w:hAnsi="仿宋_GB2312" w:eastAsia="仿宋_GB2312" w:cs="仿宋_GB2312"/>
                <w:szCs w:val="21"/>
                <w:lang w:val="en-US" w:eastAsia="zh-CN"/>
              </w:rPr>
              <w:t>履约担保形式：保证金</w:t>
            </w:r>
          </w:p>
        </w:tc>
      </w:tr>
      <w:tr>
        <w:tblPrEx>
          <w:tblCellMar>
            <w:top w:w="0" w:type="dxa"/>
            <w:left w:w="108" w:type="dxa"/>
            <w:bottom w:w="0" w:type="dxa"/>
            <w:right w:w="108" w:type="dxa"/>
          </w:tblCellMar>
        </w:tblPrEx>
        <w:trPr>
          <w:trHeight w:val="125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highlight w:val="none"/>
                <w:lang w:val="en-US"/>
              </w:rPr>
            </w:pPr>
            <w:r>
              <w:rPr>
                <w:rFonts w:hint="eastAsia" w:ascii="仿宋_GB2312" w:hAnsi="仿宋_GB2312" w:eastAsia="仿宋_GB2312" w:cs="仿宋_GB2312"/>
                <w:szCs w:val="21"/>
                <w:highlight w:val="none"/>
                <w:lang w:val="en-US" w:eastAsia="zh-CN"/>
              </w:rPr>
              <w:t>投标报价</w:t>
            </w:r>
          </w:p>
        </w:tc>
        <w:tc>
          <w:tcPr>
            <w:tcW w:w="61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default"/>
                <w:highlight w:val="none"/>
                <w:lang w:val="en-US" w:eastAsia="zh-CN"/>
              </w:rPr>
            </w:pPr>
            <w:r>
              <w:rPr>
                <w:rFonts w:hint="eastAsia" w:ascii="仿宋_GB2312" w:hAnsi="仿宋_GB2312" w:eastAsia="仿宋_GB2312" w:cs="仿宋_GB2312"/>
                <w:szCs w:val="21"/>
                <w:highlight w:val="none"/>
                <w:lang w:val="en-US" w:eastAsia="zh-CN"/>
              </w:rPr>
              <w:t>报价人报价含临时设施费及安全文明施工费等一切费用。</w:t>
            </w:r>
          </w:p>
        </w:tc>
      </w:tr>
      <w:tr>
        <w:tblPrEx>
          <w:tblCellMar>
            <w:top w:w="0" w:type="dxa"/>
            <w:left w:w="108" w:type="dxa"/>
            <w:bottom w:w="0" w:type="dxa"/>
            <w:right w:w="108" w:type="dxa"/>
          </w:tblCellMar>
        </w:tblPrEx>
        <w:trPr>
          <w:trHeight w:val="114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33</w:t>
            </w:r>
          </w:p>
        </w:tc>
        <w:tc>
          <w:tcPr>
            <w:tcW w:w="22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其他要求</w:t>
            </w:r>
          </w:p>
        </w:tc>
        <w:tc>
          <w:tcPr>
            <w:tcW w:w="61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1.工程量以实际发生量为准，过程计量需配备专职计量人员。</w:t>
            </w:r>
          </w:p>
          <w:p>
            <w:pPr>
              <w:snapToGrid w:val="0"/>
              <w:spacing w:line="360" w:lineRule="exact"/>
              <w:jc w:val="left"/>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2为确保项目文明工地施工，，临时设施费、和安全文明施工费按规定列入劳务清单报价，按询价人相关规定计提和使用。</w:t>
            </w:r>
          </w:p>
          <w:p>
            <w:pPr>
              <w:numPr>
                <w:ilvl w:val="0"/>
                <w:numId w:val="6"/>
              </w:numPr>
              <w:snapToGrid w:val="0"/>
              <w:spacing w:line="360" w:lineRule="exact"/>
              <w:jc w:val="lef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甲供材：甲供材数量以工程量清单数量为准，实际损耗率超出定额损耗率的有投标单位自行承担，应包含在投标报价中。</w:t>
            </w:r>
            <w:bookmarkStart w:id="402" w:name="_GoBack"/>
            <w:bookmarkEnd w:id="402"/>
          </w:p>
          <w:p>
            <w:pPr>
              <w:pStyle w:val="14"/>
              <w:numPr>
                <w:ilvl w:val="0"/>
                <w:numId w:val="6"/>
              </w:numPr>
              <w:ind w:left="0" w:leftChars="0" w:firstLine="0" w:firstLineChars="0"/>
              <w:rPr>
                <w:rFonts w:hint="default"/>
                <w:lang w:val="en-US" w:eastAsia="zh-CN"/>
              </w:rPr>
            </w:pPr>
            <w:r>
              <w:rPr>
                <w:rFonts w:hint="eastAsia" w:ascii="仿宋_GB2312" w:hAnsi="仿宋_GB2312" w:eastAsia="仿宋_GB2312" w:cs="仿宋_GB2312"/>
                <w:kern w:val="2"/>
                <w:sz w:val="21"/>
                <w:szCs w:val="21"/>
                <w:highlight w:val="yellow"/>
                <w:lang w:val="en-US" w:eastAsia="zh-CN" w:bidi="ar-SA"/>
              </w:rPr>
              <w:t>因图纸变更新增子目无相应子目的，依据安徽省2018年版计价依据组价，按总价降幅比例下浮后结算。</w:t>
            </w:r>
          </w:p>
          <w:p>
            <w:pPr>
              <w:pStyle w:val="14"/>
              <w:numPr>
                <w:ilvl w:val="0"/>
                <w:numId w:val="6"/>
              </w:numPr>
              <w:ind w:left="0" w:leftChars="0" w:firstLine="0" w:firstLineChars="0"/>
              <w:rPr>
                <w:rFonts w:hint="default"/>
                <w:lang w:val="en-US" w:eastAsia="zh-CN"/>
              </w:rPr>
            </w:pPr>
            <w:r>
              <w:rPr>
                <w:rFonts w:hint="eastAsia"/>
                <w:lang w:val="en-US" w:eastAsia="zh-CN"/>
              </w:rPr>
              <w:t>中标单位需提供满足设计、清单及业主要求的样品。</w:t>
            </w:r>
          </w:p>
        </w:tc>
      </w:tr>
    </w:tbl>
    <w:p>
      <w:pPr>
        <w:rPr>
          <w:rFonts w:hint="default" w:ascii="Times New Roman" w:hAnsi="Times New Roman" w:cs="Times New Roman"/>
          <w:color w:val="auto"/>
          <w:sz w:val="21"/>
          <w:szCs w:val="22"/>
          <w:highlight w:val="none"/>
        </w:rPr>
      </w:pPr>
    </w:p>
    <w:p>
      <w:pPr>
        <w:rPr>
          <w:rFonts w:hint="default" w:ascii="Times New Roman" w:hAnsi="Times New Roman" w:cs="Times New Roman"/>
          <w:color w:val="auto"/>
          <w:sz w:val="21"/>
          <w:szCs w:val="22"/>
          <w:highlight w:val="none"/>
        </w:rPr>
      </w:pPr>
    </w:p>
    <w:p>
      <w:pPr>
        <w:rPr>
          <w:rFonts w:hint="default" w:ascii="Times New Roman" w:hAnsi="Times New Roman" w:cs="Times New Roman"/>
          <w:color w:val="auto"/>
          <w:sz w:val="21"/>
          <w:szCs w:val="22"/>
          <w:highlight w:val="none"/>
        </w:rPr>
      </w:pPr>
    </w:p>
    <w:p/>
    <w:p/>
    <w:p/>
    <w:p/>
    <w:p/>
    <w:p/>
    <w:p/>
    <w:p/>
    <w:p/>
    <w:p/>
    <w:p/>
    <w:p/>
    <w:p/>
    <w:p/>
    <w:p/>
    <w:p/>
    <w:p>
      <w:pPr>
        <w:pStyle w:val="4"/>
        <w:spacing w:line="240" w:lineRule="auto"/>
      </w:pPr>
      <w:r>
        <w:t>1</w:t>
      </w:r>
      <w:r>
        <w:rPr>
          <w:rFonts w:hint="eastAsia"/>
        </w:rPr>
        <w:t>. 总则</w:t>
      </w:r>
    </w:p>
    <w:p>
      <w:pPr>
        <w:pStyle w:val="4"/>
        <w:spacing w:line="240" w:lineRule="auto"/>
      </w:pPr>
      <w:bookmarkStart w:id="10" w:name="_Toc500318555"/>
      <w:r>
        <w:rPr>
          <w:rFonts w:hint="eastAsia"/>
        </w:rPr>
        <w:t>1.1 项目概况</w:t>
      </w:r>
      <w:bookmarkEnd w:id="10"/>
    </w:p>
    <w:p>
      <w:pPr>
        <w:spacing w:line="400" w:lineRule="exact"/>
        <w:ind w:firstLine="420" w:firstLineChars="200"/>
      </w:pPr>
      <w:r>
        <w:rPr>
          <w:rFonts w:hint="eastAsia"/>
        </w:rPr>
        <w:t>1.1.1</w:t>
      </w:r>
      <w:bookmarkStart w:id="11" w:name="_Hlk511226527"/>
      <w:r>
        <w:rPr>
          <w:rFonts w:hint="eastAsia"/>
        </w:rPr>
        <w:t>本</w:t>
      </w:r>
      <w:r>
        <w:rPr>
          <w:rFonts w:hint="eastAsia"/>
          <w:lang w:eastAsia="zh-CN"/>
        </w:rPr>
        <w:t>询价</w:t>
      </w:r>
      <w:r>
        <w:rPr>
          <w:rFonts w:hint="eastAsia"/>
        </w:rPr>
        <w:t>项目已具备</w:t>
      </w:r>
      <w:r>
        <w:rPr>
          <w:rFonts w:hint="eastAsia"/>
          <w:lang w:eastAsia="zh-CN"/>
        </w:rPr>
        <w:t>询价</w:t>
      </w:r>
      <w:r>
        <w:rPr>
          <w:rFonts w:hint="eastAsia"/>
        </w:rPr>
        <w:t>条件，根据《经工集团招投标及采购管理暂行办法》的规定，现对本项目进行</w:t>
      </w:r>
      <w:r>
        <w:rPr>
          <w:rFonts w:hint="eastAsia"/>
          <w:lang w:eastAsia="zh-CN"/>
        </w:rPr>
        <w:t>询价</w:t>
      </w:r>
      <w:r>
        <w:rPr>
          <w:rFonts w:hint="eastAsia"/>
        </w:rPr>
        <w:t>。</w:t>
      </w:r>
      <w:bookmarkEnd w:id="11"/>
    </w:p>
    <w:p>
      <w:pPr>
        <w:spacing w:line="400" w:lineRule="exact"/>
        <w:ind w:firstLine="420" w:firstLineChars="200"/>
      </w:pPr>
      <w:r>
        <w:rPr>
          <w:rFonts w:hint="eastAsia"/>
        </w:rPr>
        <w:t>1.1.2 本</w:t>
      </w:r>
      <w:r>
        <w:rPr>
          <w:rFonts w:hint="eastAsia"/>
          <w:lang w:eastAsia="zh-CN"/>
        </w:rPr>
        <w:t>询价</w:t>
      </w:r>
      <w:r>
        <w:rPr>
          <w:rFonts w:hint="eastAsia"/>
        </w:rPr>
        <w:t>项目</w:t>
      </w:r>
      <w:r>
        <w:rPr>
          <w:rFonts w:hint="eastAsia"/>
          <w:lang w:eastAsia="zh-CN"/>
        </w:rPr>
        <w:t>询价</w:t>
      </w:r>
      <w:r>
        <w:rPr>
          <w:rFonts w:hint="eastAsia"/>
        </w:rPr>
        <w:t>人</w:t>
      </w:r>
      <w:r>
        <w:rPr>
          <w:rFonts w:hint="eastAsia"/>
          <w:lang w:eastAsia="zh-CN"/>
        </w:rPr>
        <w:t>、</w:t>
      </w:r>
      <w:r>
        <w:rPr>
          <w:rFonts w:hint="eastAsia"/>
        </w:rPr>
        <w:t>本</w:t>
      </w:r>
      <w:r>
        <w:rPr>
          <w:rFonts w:hint="eastAsia"/>
          <w:lang w:eastAsia="zh-CN"/>
        </w:rPr>
        <w:t>询价</w:t>
      </w:r>
      <w:r>
        <w:rPr>
          <w:rFonts w:hint="eastAsia"/>
        </w:rPr>
        <w:t>项目名称</w:t>
      </w:r>
      <w:r>
        <w:rPr>
          <w:rFonts w:hint="eastAsia"/>
          <w:lang w:eastAsia="zh-CN"/>
        </w:rPr>
        <w:t>、</w:t>
      </w:r>
      <w:r>
        <w:rPr>
          <w:rFonts w:hint="eastAsia"/>
        </w:rPr>
        <w:t>本</w:t>
      </w:r>
      <w:r>
        <w:rPr>
          <w:rFonts w:hint="eastAsia"/>
          <w:lang w:eastAsia="zh-CN"/>
        </w:rPr>
        <w:t>询价</w:t>
      </w:r>
      <w:r>
        <w:rPr>
          <w:rFonts w:hint="eastAsia"/>
        </w:rPr>
        <w:t>项目建设地点：见投标人须知前附表。</w:t>
      </w:r>
    </w:p>
    <w:p>
      <w:pPr>
        <w:pStyle w:val="4"/>
        <w:spacing w:line="240" w:lineRule="auto"/>
      </w:pPr>
      <w:bookmarkStart w:id="12" w:name="_Toc246996921"/>
      <w:bookmarkStart w:id="13" w:name="_Toc247085692"/>
      <w:bookmarkStart w:id="14" w:name="_Toc500318556"/>
      <w:bookmarkStart w:id="15" w:name="_Toc439064188"/>
      <w:bookmarkStart w:id="16" w:name="_Toc144974500"/>
      <w:bookmarkStart w:id="17" w:name="_Toc246996178"/>
      <w:bookmarkStart w:id="18" w:name="_Toc152045532"/>
      <w:bookmarkStart w:id="19" w:name="_Toc152042308"/>
      <w:bookmarkStart w:id="20" w:name="_Toc179632549"/>
      <w:r>
        <w:rPr>
          <w:rFonts w:hint="eastAsia"/>
        </w:rPr>
        <w:t>1.</w:t>
      </w:r>
      <w:r>
        <w:t>2</w:t>
      </w:r>
      <w:r>
        <w:rPr>
          <w:rFonts w:hint="eastAsia"/>
        </w:rPr>
        <w:t xml:space="preserve"> </w:t>
      </w:r>
      <w:r>
        <w:rPr>
          <w:rFonts w:hint="eastAsia"/>
          <w:lang w:eastAsia="zh-CN"/>
        </w:rPr>
        <w:t>询价</w:t>
      </w:r>
      <w:r>
        <w:rPr>
          <w:rFonts w:hint="eastAsia"/>
        </w:rPr>
        <w:t>范围、计划工期、质量要求</w:t>
      </w:r>
      <w:bookmarkEnd w:id="12"/>
      <w:bookmarkEnd w:id="13"/>
      <w:bookmarkEnd w:id="14"/>
      <w:bookmarkEnd w:id="15"/>
      <w:bookmarkEnd w:id="16"/>
      <w:bookmarkEnd w:id="17"/>
      <w:bookmarkEnd w:id="18"/>
      <w:bookmarkEnd w:id="19"/>
      <w:bookmarkEnd w:id="20"/>
    </w:p>
    <w:p>
      <w:pPr>
        <w:spacing w:line="400" w:lineRule="exact"/>
        <w:ind w:firstLine="420" w:firstLineChars="200"/>
      </w:pPr>
      <w:bookmarkStart w:id="21" w:name="_Toc246996179"/>
      <w:bookmarkStart w:id="22" w:name="_Toc144974502"/>
      <w:bookmarkStart w:id="23" w:name="_Toc246996922"/>
      <w:bookmarkStart w:id="24" w:name="_Toc247085693"/>
      <w:bookmarkStart w:id="25" w:name="_Toc152045534"/>
      <w:bookmarkStart w:id="26" w:name="_Toc152042310"/>
      <w:bookmarkStart w:id="27" w:name="_Toc179632551"/>
      <w:r>
        <w:rPr>
          <w:rFonts w:hint="eastAsia"/>
        </w:rPr>
        <w:t>1.</w:t>
      </w:r>
      <w:r>
        <w:t>2</w:t>
      </w:r>
      <w:r>
        <w:rPr>
          <w:rFonts w:hint="eastAsia"/>
        </w:rPr>
        <w:t>.1 本次</w:t>
      </w:r>
      <w:r>
        <w:rPr>
          <w:rFonts w:hint="eastAsia"/>
          <w:lang w:eastAsia="zh-CN"/>
        </w:rPr>
        <w:t>询价</w:t>
      </w:r>
      <w:r>
        <w:rPr>
          <w:rFonts w:hint="eastAsia"/>
        </w:rPr>
        <w:t>范围</w:t>
      </w:r>
      <w:r>
        <w:rPr>
          <w:rFonts w:hint="eastAsia"/>
          <w:lang w:eastAsia="zh-CN"/>
        </w:rPr>
        <w:t>、</w:t>
      </w:r>
      <w:r>
        <w:rPr>
          <w:rFonts w:hint="eastAsia"/>
        </w:rPr>
        <w:t>标段划分情况</w:t>
      </w:r>
      <w:r>
        <w:rPr>
          <w:rFonts w:hint="eastAsia"/>
          <w:lang w:eastAsia="zh-CN"/>
        </w:rPr>
        <w:t>、</w:t>
      </w:r>
      <w:r>
        <w:rPr>
          <w:rFonts w:hint="eastAsia"/>
        </w:rPr>
        <w:t>控制价</w:t>
      </w:r>
      <w:r>
        <w:rPr>
          <w:rFonts w:hint="eastAsia"/>
          <w:lang w:eastAsia="zh-CN"/>
        </w:rPr>
        <w:t>、</w:t>
      </w:r>
      <w:r>
        <w:rPr>
          <w:rFonts w:hint="eastAsia"/>
        </w:rPr>
        <w:t>计划工期</w:t>
      </w:r>
      <w:r>
        <w:rPr>
          <w:rFonts w:hint="eastAsia"/>
          <w:lang w:eastAsia="zh-CN"/>
        </w:rPr>
        <w:t>、</w:t>
      </w:r>
      <w:r>
        <w:rPr>
          <w:rFonts w:hint="eastAsia"/>
        </w:rPr>
        <w:t>质量要求：见投标人须知前附表。</w:t>
      </w:r>
    </w:p>
    <w:p>
      <w:pPr>
        <w:pStyle w:val="4"/>
        <w:spacing w:line="240" w:lineRule="auto"/>
      </w:pPr>
      <w:bookmarkStart w:id="28" w:name="_Toc439064189"/>
      <w:bookmarkStart w:id="29" w:name="_Toc500318557"/>
      <w:r>
        <w:rPr>
          <w:rFonts w:hint="eastAsia"/>
        </w:rPr>
        <w:t>1.</w:t>
      </w:r>
      <w:r>
        <w:t>3</w:t>
      </w:r>
      <w:r>
        <w:rPr>
          <w:rFonts w:hint="eastAsia"/>
        </w:rPr>
        <w:t xml:space="preserve"> 投标人资格要求</w:t>
      </w:r>
      <w:bookmarkEnd w:id="21"/>
      <w:bookmarkEnd w:id="22"/>
      <w:bookmarkEnd w:id="23"/>
      <w:bookmarkEnd w:id="24"/>
      <w:bookmarkEnd w:id="25"/>
      <w:bookmarkEnd w:id="26"/>
      <w:bookmarkEnd w:id="27"/>
      <w:bookmarkEnd w:id="28"/>
      <w:bookmarkEnd w:id="29"/>
    </w:p>
    <w:p>
      <w:pPr>
        <w:spacing w:line="400" w:lineRule="exact"/>
        <w:ind w:firstLine="359" w:firstLineChars="171"/>
      </w:pPr>
      <w:r>
        <w:rPr>
          <w:rFonts w:hint="eastAsia"/>
        </w:rPr>
        <w:t>1.</w:t>
      </w:r>
      <w:r>
        <w:t>3</w:t>
      </w:r>
      <w:r>
        <w:rPr>
          <w:rFonts w:hint="eastAsia"/>
        </w:rPr>
        <w:t>.1 投标人应具备承担本项目施工的资质条件、能力和信誉。</w:t>
      </w:r>
    </w:p>
    <w:p>
      <w:pPr>
        <w:spacing w:line="400" w:lineRule="exact"/>
        <w:ind w:firstLine="884" w:firstLineChars="421"/>
      </w:pPr>
      <w:r>
        <w:rPr>
          <w:rFonts w:hint="eastAsia"/>
        </w:rPr>
        <w:t>资质条件、人员要求、业绩要求、其他要求：见投标人须知前附表；</w:t>
      </w:r>
    </w:p>
    <w:p>
      <w:pPr>
        <w:spacing w:line="400" w:lineRule="exact"/>
        <w:ind w:firstLine="359" w:firstLineChars="171"/>
      </w:pPr>
      <w:bookmarkStart w:id="30" w:name="_Toc152045535"/>
      <w:bookmarkStart w:id="31" w:name="_Toc246996923"/>
      <w:bookmarkStart w:id="32" w:name="_Toc179632552"/>
      <w:bookmarkStart w:id="33" w:name="_Toc247085694"/>
      <w:bookmarkStart w:id="34" w:name="_Toc246996180"/>
      <w:bookmarkStart w:id="35" w:name="_Toc152042311"/>
      <w:bookmarkStart w:id="36" w:name="_Toc144974503"/>
      <w:r>
        <w:rPr>
          <w:rFonts w:hint="eastAsia"/>
        </w:rPr>
        <w:t>1.</w:t>
      </w:r>
      <w:r>
        <w:t>3</w:t>
      </w:r>
      <w:r>
        <w:rPr>
          <w:rFonts w:hint="eastAsia"/>
        </w:rPr>
        <w:t>.2 投标人存在下列情形之一的，不论已评审与否，其投标均无效：</w:t>
      </w:r>
    </w:p>
    <w:p>
      <w:pPr>
        <w:spacing w:line="400" w:lineRule="exact"/>
        <w:ind w:firstLine="464" w:firstLineChars="221"/>
      </w:pPr>
      <w:r>
        <w:rPr>
          <w:rFonts w:hint="eastAsia"/>
        </w:rPr>
        <w:t xml:space="preserve">(l） 已被经工集团清退出库的劳务队伍； </w:t>
      </w:r>
    </w:p>
    <w:p>
      <w:pPr>
        <w:spacing w:line="400" w:lineRule="exact"/>
        <w:ind w:firstLine="359" w:firstLineChars="171"/>
      </w:pPr>
      <w:r>
        <w:rPr>
          <w:rFonts w:hint="eastAsia"/>
        </w:rPr>
        <w:t xml:space="preserve"> (</w:t>
      </w:r>
      <w:r>
        <w:t>2</w:t>
      </w:r>
      <w:r>
        <w:rPr>
          <w:rFonts w:hint="eastAsia"/>
        </w:rPr>
        <w:t>）未进入经工集团劳务库</w:t>
      </w:r>
      <w:r>
        <w:rPr>
          <w:rFonts w:hint="eastAsia" w:ascii="宋体" w:hAnsi="宋体"/>
          <w:szCs w:val="21"/>
        </w:rPr>
        <w:t>；</w:t>
      </w:r>
    </w:p>
    <w:p>
      <w:pPr>
        <w:spacing w:line="400" w:lineRule="exact"/>
        <w:ind w:firstLine="464" w:firstLineChars="221"/>
      </w:pPr>
      <w:r>
        <w:rPr>
          <w:rFonts w:hint="eastAsia"/>
        </w:rPr>
        <w:t>(</w:t>
      </w:r>
      <w:r>
        <w:t>3</w:t>
      </w:r>
      <w:r>
        <w:rPr>
          <w:rFonts w:hint="eastAsia"/>
        </w:rPr>
        <w:t>）被责令停业或解散的；</w:t>
      </w:r>
    </w:p>
    <w:p>
      <w:pPr>
        <w:spacing w:line="400" w:lineRule="exact"/>
        <w:ind w:firstLine="464" w:firstLineChars="221"/>
      </w:pPr>
      <w:r>
        <w:rPr>
          <w:rFonts w:hint="eastAsia"/>
        </w:rPr>
        <w:t>(</w:t>
      </w:r>
      <w:r>
        <w:t>4</w:t>
      </w:r>
      <w:r>
        <w:rPr>
          <w:rFonts w:hint="eastAsia"/>
        </w:rPr>
        <w:t>）财产被接管或冻结等重大财务风险的；</w:t>
      </w:r>
    </w:p>
    <w:p>
      <w:pPr>
        <w:spacing w:line="400" w:lineRule="exact"/>
        <w:ind w:firstLine="464" w:firstLineChars="221"/>
      </w:pPr>
      <w:r>
        <w:rPr>
          <w:rFonts w:hint="eastAsia"/>
        </w:rPr>
        <w:t>(</w:t>
      </w:r>
      <w:r>
        <w:t>5</w:t>
      </w:r>
      <w:r>
        <w:rPr>
          <w:rFonts w:hint="eastAsia"/>
        </w:rPr>
        <w:t>）在最近三年内发生重大工程质量或重大安全事故被通报或处罚，影响其履约行为的。</w:t>
      </w:r>
    </w:p>
    <w:p>
      <w:pPr>
        <w:pStyle w:val="4"/>
        <w:spacing w:line="240" w:lineRule="auto"/>
      </w:pPr>
      <w:bookmarkStart w:id="37" w:name="_Toc500318558"/>
      <w:bookmarkStart w:id="38" w:name="_Toc439064190"/>
      <w:r>
        <w:rPr>
          <w:rFonts w:hint="eastAsia"/>
        </w:rPr>
        <w:t>1.</w:t>
      </w:r>
      <w:r>
        <w:t>4</w:t>
      </w:r>
      <w:r>
        <w:rPr>
          <w:rFonts w:hint="eastAsia"/>
        </w:rPr>
        <w:t xml:space="preserve"> 费用承担</w:t>
      </w:r>
      <w:bookmarkEnd w:id="30"/>
      <w:bookmarkEnd w:id="31"/>
      <w:bookmarkEnd w:id="32"/>
      <w:bookmarkEnd w:id="33"/>
      <w:bookmarkEnd w:id="34"/>
      <w:bookmarkEnd w:id="35"/>
      <w:bookmarkEnd w:id="36"/>
      <w:bookmarkEnd w:id="37"/>
      <w:bookmarkEnd w:id="38"/>
    </w:p>
    <w:p>
      <w:pPr>
        <w:spacing w:line="400" w:lineRule="exact"/>
        <w:ind w:firstLine="420" w:firstLineChars="200"/>
        <w:rPr>
          <w:rFonts w:ascii="宋体" w:hAnsi="宋体"/>
          <w:szCs w:val="22"/>
        </w:rPr>
      </w:pPr>
      <w:bookmarkStart w:id="39" w:name="_Toc247085695"/>
      <w:bookmarkStart w:id="40" w:name="_Toc152045536"/>
      <w:bookmarkStart w:id="41" w:name="_Toc246996181"/>
      <w:bookmarkStart w:id="42" w:name="_Toc152042312"/>
      <w:bookmarkStart w:id="43" w:name="_Toc246996924"/>
      <w:bookmarkStart w:id="44" w:name="_Toc179632553"/>
      <w:bookmarkStart w:id="45" w:name="_Toc144974504"/>
      <w:r>
        <w:rPr>
          <w:rFonts w:hint="eastAsia" w:ascii="宋体" w:hAnsi="宋体"/>
          <w:szCs w:val="22"/>
        </w:rPr>
        <w:t>投标人准备和参加投标活动发生的费用自理。投标人应承担其编制投标文件与递交投标文件等投标过程中所涉及的一切费用，不论投标结果如何，</w:t>
      </w:r>
      <w:r>
        <w:rPr>
          <w:rFonts w:hint="eastAsia" w:ascii="宋体" w:hAnsi="宋体"/>
          <w:szCs w:val="22"/>
          <w:lang w:eastAsia="zh-CN"/>
        </w:rPr>
        <w:t>询价</w:t>
      </w:r>
      <w:r>
        <w:rPr>
          <w:rFonts w:hint="eastAsia" w:ascii="宋体" w:hAnsi="宋体"/>
          <w:szCs w:val="22"/>
        </w:rPr>
        <w:t>人均不予承担。</w:t>
      </w:r>
    </w:p>
    <w:p>
      <w:pPr>
        <w:pStyle w:val="4"/>
        <w:spacing w:line="240" w:lineRule="auto"/>
      </w:pPr>
      <w:bookmarkStart w:id="46" w:name="_Toc439064191"/>
      <w:bookmarkStart w:id="47" w:name="_Toc500318559"/>
      <w:r>
        <w:rPr>
          <w:rFonts w:hint="eastAsia"/>
        </w:rPr>
        <w:t>1.</w:t>
      </w:r>
      <w:r>
        <w:t>5</w:t>
      </w:r>
      <w:r>
        <w:rPr>
          <w:rFonts w:hint="eastAsia"/>
        </w:rPr>
        <w:t xml:space="preserve"> 保密</w:t>
      </w:r>
      <w:bookmarkEnd w:id="39"/>
      <w:bookmarkEnd w:id="40"/>
      <w:bookmarkEnd w:id="41"/>
      <w:bookmarkEnd w:id="42"/>
      <w:bookmarkEnd w:id="43"/>
      <w:bookmarkEnd w:id="44"/>
      <w:bookmarkEnd w:id="45"/>
      <w:bookmarkEnd w:id="46"/>
      <w:bookmarkEnd w:id="47"/>
    </w:p>
    <w:p>
      <w:pPr>
        <w:spacing w:line="400" w:lineRule="exact"/>
        <w:ind w:firstLine="420" w:firstLineChars="200"/>
      </w:pPr>
      <w:r>
        <w:rPr>
          <w:rFonts w:hint="eastAsia"/>
        </w:rPr>
        <w:t>参与</w:t>
      </w:r>
      <w:r>
        <w:rPr>
          <w:rFonts w:hint="eastAsia"/>
          <w:lang w:eastAsia="zh-CN"/>
        </w:rPr>
        <w:t>询价</w:t>
      </w:r>
      <w:r>
        <w:rPr>
          <w:rFonts w:hint="eastAsia"/>
        </w:rPr>
        <w:t>投标活动的各方应对</w:t>
      </w:r>
      <w:r>
        <w:rPr>
          <w:rFonts w:hint="eastAsia"/>
          <w:lang w:eastAsia="zh-CN"/>
        </w:rPr>
        <w:t>询价</w:t>
      </w:r>
      <w:r>
        <w:rPr>
          <w:rFonts w:hint="eastAsia"/>
        </w:rPr>
        <w:t xml:space="preserve">文件和投标文件中的商业和技术等秘密保密，违者应对由此造成的后果承担法律责任。 </w:t>
      </w:r>
    </w:p>
    <w:p>
      <w:pPr>
        <w:pStyle w:val="4"/>
        <w:spacing w:line="240" w:lineRule="auto"/>
      </w:pPr>
      <w:bookmarkStart w:id="48" w:name="_Toc144974505"/>
      <w:bookmarkStart w:id="49" w:name="_Toc152045537"/>
      <w:bookmarkStart w:id="50" w:name="_Toc246996925"/>
      <w:bookmarkStart w:id="51" w:name="_Toc246996182"/>
      <w:bookmarkStart w:id="52" w:name="_Toc152042313"/>
      <w:bookmarkStart w:id="53" w:name="_Toc439064192"/>
      <w:bookmarkStart w:id="54" w:name="_Toc179632554"/>
      <w:bookmarkStart w:id="55" w:name="_Toc247085696"/>
      <w:bookmarkStart w:id="56" w:name="_Toc500318560"/>
      <w:r>
        <w:rPr>
          <w:rFonts w:hint="eastAsia"/>
        </w:rPr>
        <w:t>1.</w:t>
      </w:r>
      <w:r>
        <w:t>6</w:t>
      </w:r>
      <w:r>
        <w:rPr>
          <w:rFonts w:hint="eastAsia"/>
        </w:rPr>
        <w:t xml:space="preserve"> 语言</w:t>
      </w:r>
      <w:bookmarkEnd w:id="48"/>
      <w:r>
        <w:rPr>
          <w:rFonts w:hint="eastAsia"/>
        </w:rPr>
        <w:t>文字</w:t>
      </w:r>
      <w:bookmarkEnd w:id="49"/>
      <w:bookmarkEnd w:id="50"/>
      <w:bookmarkEnd w:id="51"/>
      <w:bookmarkEnd w:id="52"/>
      <w:bookmarkEnd w:id="53"/>
      <w:bookmarkEnd w:id="54"/>
      <w:bookmarkEnd w:id="55"/>
      <w:bookmarkEnd w:id="56"/>
    </w:p>
    <w:p>
      <w:pPr>
        <w:spacing w:line="400" w:lineRule="exact"/>
        <w:ind w:firstLine="420" w:firstLineChars="200"/>
      </w:pPr>
      <w:bookmarkStart w:id="57" w:name="_Toc144974506"/>
      <w:bookmarkStart w:id="58" w:name="_Toc247085697"/>
      <w:bookmarkStart w:id="59" w:name="_Toc179632555"/>
      <w:bookmarkStart w:id="60" w:name="_Toc152042314"/>
      <w:bookmarkStart w:id="61" w:name="_Toc246996926"/>
      <w:bookmarkStart w:id="62" w:name="_Toc152045538"/>
      <w:bookmarkStart w:id="63" w:name="_Toc246996183"/>
      <w:r>
        <w:rPr>
          <w:rFonts w:hint="eastAsia"/>
          <w:lang w:eastAsia="zh-CN"/>
        </w:rPr>
        <w:t>询价</w:t>
      </w:r>
      <w:r>
        <w:rPr>
          <w:rFonts w:hint="eastAsia"/>
        </w:rPr>
        <w:t>投标文件使用的语言文字为中文。专用术语使用外文的，应附有中文注释。</w:t>
      </w:r>
    </w:p>
    <w:p>
      <w:pPr>
        <w:pStyle w:val="4"/>
        <w:spacing w:line="240" w:lineRule="auto"/>
      </w:pPr>
      <w:bookmarkStart w:id="64" w:name="_Toc439064193"/>
      <w:bookmarkStart w:id="65" w:name="_Toc500318561"/>
      <w:r>
        <w:rPr>
          <w:rFonts w:hint="eastAsia"/>
        </w:rPr>
        <w:t>1.</w:t>
      </w:r>
      <w:r>
        <w:t>7</w:t>
      </w:r>
      <w:r>
        <w:rPr>
          <w:rFonts w:hint="eastAsia"/>
        </w:rPr>
        <w:t xml:space="preserve"> 计量单位</w:t>
      </w:r>
      <w:bookmarkEnd w:id="57"/>
      <w:bookmarkEnd w:id="58"/>
      <w:bookmarkEnd w:id="59"/>
      <w:bookmarkEnd w:id="60"/>
      <w:bookmarkEnd w:id="61"/>
      <w:bookmarkEnd w:id="62"/>
      <w:bookmarkEnd w:id="63"/>
      <w:bookmarkEnd w:id="64"/>
      <w:bookmarkEnd w:id="65"/>
    </w:p>
    <w:p>
      <w:pPr>
        <w:spacing w:line="400" w:lineRule="exact"/>
        <w:ind w:firstLine="420" w:firstLineChars="200"/>
      </w:pPr>
      <w:r>
        <w:rPr>
          <w:rFonts w:hint="eastAsia"/>
        </w:rPr>
        <w:t>所有计量均采用中华人民共和国法定计量单位。</w:t>
      </w:r>
    </w:p>
    <w:p>
      <w:pPr>
        <w:pStyle w:val="4"/>
        <w:spacing w:line="240" w:lineRule="auto"/>
      </w:pPr>
      <w:bookmarkStart w:id="66" w:name="_Toc247592876"/>
      <w:bookmarkStart w:id="67" w:name="_Toc152045539"/>
      <w:bookmarkStart w:id="68" w:name="_Toc500318562"/>
      <w:bookmarkStart w:id="69" w:name="_Toc247527563"/>
      <w:bookmarkStart w:id="70" w:name="_Toc439064194"/>
      <w:bookmarkStart w:id="71" w:name="_Toc247513962"/>
      <w:bookmarkStart w:id="72" w:name="_Toc152042315"/>
      <w:bookmarkStart w:id="73" w:name="_Toc144974507"/>
      <w:r>
        <w:rPr>
          <w:rFonts w:hint="eastAsia"/>
        </w:rPr>
        <w:t>1.</w:t>
      </w:r>
      <w:r>
        <w:t>8</w:t>
      </w:r>
      <w:r>
        <w:rPr>
          <w:rFonts w:hint="eastAsia"/>
        </w:rPr>
        <w:t xml:space="preserve"> 踏勘现场</w:t>
      </w:r>
      <w:bookmarkEnd w:id="66"/>
      <w:bookmarkEnd w:id="67"/>
      <w:bookmarkEnd w:id="68"/>
      <w:bookmarkEnd w:id="69"/>
      <w:bookmarkEnd w:id="70"/>
      <w:bookmarkEnd w:id="71"/>
      <w:bookmarkEnd w:id="72"/>
      <w:bookmarkEnd w:id="73"/>
    </w:p>
    <w:p>
      <w:pPr>
        <w:spacing w:line="400" w:lineRule="exact"/>
        <w:ind w:firstLine="420" w:firstLineChars="200"/>
      </w:pPr>
      <w:bookmarkStart w:id="74" w:name="_Toc247527564"/>
      <w:bookmarkStart w:id="75" w:name="_Toc152042316"/>
      <w:bookmarkStart w:id="76" w:name="_Toc247592877"/>
      <w:bookmarkStart w:id="77" w:name="_Toc144974508"/>
      <w:bookmarkStart w:id="78" w:name="_Toc152045540"/>
      <w:bookmarkStart w:id="79" w:name="_Toc247513963"/>
      <w:r>
        <w:rPr>
          <w:rFonts w:hint="eastAsia"/>
        </w:rPr>
        <w:t>1.8.1 投标人须知前附表规定组织踏勘现场的，投标人应按投标人须知前附表规定的时间、地点参加踏勘项目现场</w:t>
      </w:r>
      <w:bookmarkStart w:id="80" w:name="_Hlk497291673"/>
      <w:r>
        <w:rPr>
          <w:rFonts w:hint="eastAsia"/>
        </w:rPr>
        <w:t>；投标人未在规定时间、地点参加的，视同已参加</w:t>
      </w:r>
      <w:bookmarkEnd w:id="80"/>
      <w:r>
        <w:rPr>
          <w:rFonts w:hint="eastAsia"/>
        </w:rPr>
        <w:t>。（若有）</w:t>
      </w:r>
    </w:p>
    <w:p>
      <w:pPr>
        <w:spacing w:line="400" w:lineRule="exact"/>
        <w:ind w:firstLine="420" w:firstLineChars="200"/>
      </w:pPr>
      <w:r>
        <w:rPr>
          <w:rFonts w:hint="eastAsia"/>
        </w:rPr>
        <w:t>1.</w:t>
      </w:r>
      <w:r>
        <w:t>8</w:t>
      </w:r>
      <w:r>
        <w:rPr>
          <w:rFonts w:hint="eastAsia"/>
        </w:rPr>
        <w:t>.2 投标人须知前附表规定自行踏勘现场的，投标人应自行对工程现场及周围环境进行踏勘现场以获得有关编制投标文件和签署合同所涉及现场的资料。</w:t>
      </w:r>
    </w:p>
    <w:p>
      <w:pPr>
        <w:spacing w:line="400" w:lineRule="exact"/>
        <w:ind w:firstLine="420" w:firstLineChars="200"/>
      </w:pPr>
      <w:r>
        <w:rPr>
          <w:rFonts w:hint="eastAsia"/>
        </w:rPr>
        <w:t>1.</w:t>
      </w:r>
      <w:r>
        <w:t>8</w:t>
      </w:r>
      <w:r>
        <w:rPr>
          <w:rFonts w:hint="eastAsia"/>
        </w:rPr>
        <w:t>.3投标人踏勘现场发生的费用自理，自行负责踏勘现场时的人身和财产安全。</w:t>
      </w:r>
    </w:p>
    <w:p>
      <w:pPr>
        <w:spacing w:line="400" w:lineRule="exact"/>
        <w:ind w:firstLine="420" w:firstLineChars="200"/>
      </w:pPr>
      <w:r>
        <w:rPr>
          <w:rFonts w:hint="eastAsia"/>
        </w:rPr>
        <w:t>1.</w:t>
      </w:r>
      <w:r>
        <w:t>8</w:t>
      </w:r>
      <w:r>
        <w:rPr>
          <w:rFonts w:hint="eastAsia"/>
        </w:rPr>
        <w:t>.4 投标人未到施工现场实地踏勘的，在开评标以及中标后签订合同、履约过程中，不得再以不完全了解现场情况为由，提出任何形式拒签合同、增加工程造价或索赔的要求。</w:t>
      </w:r>
    </w:p>
    <w:p>
      <w:pPr>
        <w:spacing w:line="400" w:lineRule="exact"/>
        <w:ind w:firstLine="420" w:firstLineChars="200"/>
      </w:pPr>
      <w:r>
        <w:rPr>
          <w:rFonts w:hint="eastAsia"/>
        </w:rPr>
        <w:t>1.</w:t>
      </w:r>
      <w:r>
        <w:t>8</w:t>
      </w:r>
      <w:r>
        <w:rPr>
          <w:rFonts w:hint="eastAsia"/>
        </w:rPr>
        <w:t xml:space="preserve">.5 </w:t>
      </w:r>
      <w:r>
        <w:rPr>
          <w:rFonts w:hint="eastAsia"/>
          <w:lang w:eastAsia="zh-CN"/>
        </w:rPr>
        <w:t>询价</w:t>
      </w:r>
      <w:r>
        <w:rPr>
          <w:rFonts w:hint="eastAsia"/>
        </w:rPr>
        <w:t>人在踏勘现场中介绍的工程场地和相关的周边环境情况以及</w:t>
      </w:r>
      <w:r>
        <w:rPr>
          <w:rFonts w:hint="eastAsia"/>
          <w:lang w:eastAsia="zh-CN"/>
        </w:rPr>
        <w:t>询价</w:t>
      </w:r>
      <w:r>
        <w:rPr>
          <w:rFonts w:hint="eastAsia"/>
        </w:rPr>
        <w:t>人提供的本合同工程的参考资料（若有），仅供投标人在编制投标文件时参考，</w:t>
      </w:r>
      <w:r>
        <w:rPr>
          <w:rFonts w:hint="eastAsia"/>
          <w:lang w:eastAsia="zh-CN"/>
        </w:rPr>
        <w:t>询价</w:t>
      </w:r>
      <w:r>
        <w:rPr>
          <w:rFonts w:hint="eastAsia"/>
        </w:rPr>
        <w:t>人不对投标人据此作出的判断和决策负责。</w:t>
      </w:r>
    </w:p>
    <w:bookmarkEnd w:id="74"/>
    <w:bookmarkEnd w:id="75"/>
    <w:bookmarkEnd w:id="76"/>
    <w:bookmarkEnd w:id="77"/>
    <w:bookmarkEnd w:id="78"/>
    <w:bookmarkEnd w:id="79"/>
    <w:p>
      <w:pPr>
        <w:pStyle w:val="4"/>
        <w:spacing w:line="240" w:lineRule="auto"/>
      </w:pPr>
      <w:bookmarkStart w:id="81" w:name="_Toc439064197"/>
      <w:bookmarkStart w:id="82" w:name="_Toc500318563"/>
      <w:bookmarkStart w:id="83" w:name="_Toc246996930"/>
      <w:bookmarkStart w:id="84" w:name="_Toc179632560"/>
      <w:bookmarkStart w:id="85" w:name="_Toc246996187"/>
      <w:bookmarkStart w:id="86" w:name="_Toc247085701"/>
      <w:bookmarkStart w:id="87" w:name="_Toc144974510"/>
      <w:bookmarkStart w:id="88" w:name="_Toc152045542"/>
      <w:bookmarkStart w:id="89" w:name="_Toc152042318"/>
      <w:r>
        <w:t xml:space="preserve">1.9 </w:t>
      </w:r>
      <w:r>
        <w:rPr>
          <w:rFonts w:hint="eastAsia"/>
        </w:rPr>
        <w:t>偏离</w:t>
      </w:r>
      <w:bookmarkEnd w:id="81"/>
      <w:bookmarkEnd w:id="82"/>
    </w:p>
    <w:p>
      <w:pPr>
        <w:spacing w:line="400" w:lineRule="exact"/>
        <w:ind w:firstLine="420" w:firstLineChars="200"/>
      </w:pPr>
      <w:r>
        <w:rPr>
          <w:rFonts w:hint="eastAsia"/>
        </w:rPr>
        <w:t>投标人须知前附表允许投标文件偏离</w:t>
      </w:r>
      <w:r>
        <w:rPr>
          <w:rFonts w:hint="eastAsia"/>
          <w:lang w:eastAsia="zh-CN"/>
        </w:rPr>
        <w:t>询价</w:t>
      </w:r>
      <w:r>
        <w:rPr>
          <w:rFonts w:hint="eastAsia"/>
        </w:rPr>
        <w:t>文件某些要求的，偏离应当符合</w:t>
      </w:r>
      <w:r>
        <w:rPr>
          <w:rFonts w:hint="eastAsia"/>
          <w:lang w:eastAsia="zh-CN"/>
        </w:rPr>
        <w:t>询价</w:t>
      </w:r>
      <w:r>
        <w:rPr>
          <w:rFonts w:hint="eastAsia"/>
        </w:rPr>
        <w:t>文件规定的偏离范围和幅度。偏离即偏差，偏差分重大偏差和细微偏差。</w:t>
      </w:r>
    </w:p>
    <w:p>
      <w:pPr>
        <w:spacing w:line="400" w:lineRule="exact"/>
        <w:ind w:firstLine="420" w:firstLineChars="200"/>
      </w:pPr>
      <w:r>
        <w:rPr>
          <w:rFonts w:hint="eastAsia"/>
        </w:rPr>
        <w:t>投标文件中存在有重大偏差的，由评标委员会评审后按无效标处理；投标文件中存在有细微偏差的，评标委员会可要求投标人进行澄清，只有投标人的澄清文件被评标委员会接受，其投标文件才能继续参加评审。</w:t>
      </w:r>
    </w:p>
    <w:bookmarkEnd w:id="83"/>
    <w:bookmarkEnd w:id="84"/>
    <w:bookmarkEnd w:id="85"/>
    <w:bookmarkEnd w:id="86"/>
    <w:bookmarkEnd w:id="87"/>
    <w:bookmarkEnd w:id="88"/>
    <w:bookmarkEnd w:id="89"/>
    <w:p>
      <w:pPr>
        <w:pStyle w:val="4"/>
        <w:numPr>
          <w:ilvl w:val="0"/>
          <w:numId w:val="7"/>
        </w:numPr>
        <w:spacing w:line="240" w:lineRule="auto"/>
        <w:rPr>
          <w:rFonts w:hint="eastAsia"/>
          <w:lang w:eastAsia="zh-CN"/>
        </w:rPr>
      </w:pPr>
      <w:bookmarkStart w:id="90" w:name="_Hlk500260951"/>
      <w:r>
        <w:rPr>
          <w:rFonts w:hint="eastAsia"/>
          <w:lang w:eastAsia="zh-CN"/>
        </w:rPr>
        <w:t>询价</w:t>
      </w:r>
      <w:bookmarkStart w:id="91" w:name="_Toc152045543"/>
      <w:bookmarkStart w:id="92" w:name="_Toc247085702"/>
      <w:bookmarkStart w:id="93" w:name="_Toc439064199"/>
      <w:bookmarkStart w:id="94" w:name="_Toc246996931"/>
      <w:bookmarkStart w:id="95" w:name="_Toc179632561"/>
      <w:bookmarkStart w:id="96" w:name="_Toc500318565"/>
      <w:bookmarkStart w:id="97" w:name="_Toc152042319"/>
      <w:bookmarkStart w:id="98" w:name="_Toc246996188"/>
      <w:bookmarkStart w:id="99" w:name="_Toc144974511"/>
    </w:p>
    <w:p>
      <w:pPr>
        <w:pStyle w:val="4"/>
        <w:numPr>
          <w:ilvl w:val="0"/>
          <w:numId w:val="0"/>
        </w:numPr>
        <w:spacing w:line="240" w:lineRule="auto"/>
      </w:pPr>
      <w:r>
        <w:rPr>
          <w:rFonts w:hint="eastAsia"/>
        </w:rPr>
        <w:t xml:space="preserve">2.1 </w:t>
      </w:r>
      <w:r>
        <w:rPr>
          <w:rFonts w:hint="eastAsia"/>
          <w:lang w:eastAsia="zh-CN"/>
        </w:rPr>
        <w:t>询价</w:t>
      </w:r>
      <w:r>
        <w:rPr>
          <w:rFonts w:hint="eastAsia"/>
        </w:rPr>
        <w:t>文件的组成</w:t>
      </w:r>
      <w:bookmarkEnd w:id="91"/>
      <w:bookmarkEnd w:id="92"/>
      <w:bookmarkEnd w:id="93"/>
      <w:bookmarkEnd w:id="94"/>
      <w:bookmarkEnd w:id="95"/>
      <w:bookmarkEnd w:id="96"/>
      <w:bookmarkEnd w:id="97"/>
      <w:bookmarkEnd w:id="98"/>
      <w:bookmarkEnd w:id="99"/>
    </w:p>
    <w:p>
      <w:pPr>
        <w:spacing w:line="400" w:lineRule="exact"/>
      </w:pPr>
      <w:r>
        <w:rPr>
          <w:rFonts w:hint="eastAsia"/>
        </w:rPr>
        <w:t>　　2.1.1 本</w:t>
      </w:r>
      <w:r>
        <w:rPr>
          <w:rFonts w:hint="eastAsia"/>
          <w:lang w:eastAsia="zh-CN"/>
        </w:rPr>
        <w:t>询价</w:t>
      </w:r>
      <w:r>
        <w:rPr>
          <w:rFonts w:hint="eastAsia"/>
        </w:rPr>
        <w:t>文件包括：</w:t>
      </w:r>
    </w:p>
    <w:p>
      <w:pPr>
        <w:spacing w:line="400" w:lineRule="exact"/>
        <w:ind w:firstLine="359" w:firstLineChars="171"/>
      </w:pPr>
      <w:r>
        <w:rPr>
          <w:rFonts w:hint="eastAsia"/>
        </w:rPr>
        <w:t>（1）</w:t>
      </w:r>
      <w:r>
        <w:rPr>
          <w:rFonts w:hint="eastAsia"/>
          <w:lang w:eastAsia="zh-CN"/>
        </w:rPr>
        <w:t>询价</w:t>
      </w:r>
      <w:r>
        <w:rPr>
          <w:rFonts w:hint="eastAsia"/>
        </w:rPr>
        <w:t>公告（或</w:t>
      </w:r>
      <w:r>
        <w:rPr>
          <w:rFonts w:hint="eastAsia"/>
          <w:lang w:eastAsia="zh-CN"/>
        </w:rPr>
        <w:t>询价</w:t>
      </w:r>
      <w:r>
        <w:rPr>
          <w:rFonts w:hint="eastAsia"/>
        </w:rPr>
        <w:t>邀请书）；</w:t>
      </w:r>
    </w:p>
    <w:p>
      <w:pPr>
        <w:spacing w:line="400" w:lineRule="exact"/>
        <w:ind w:firstLine="359" w:firstLineChars="171"/>
      </w:pPr>
      <w:r>
        <w:rPr>
          <w:rFonts w:hint="eastAsia"/>
        </w:rPr>
        <w:t>（2）投标人须知；</w:t>
      </w:r>
    </w:p>
    <w:p>
      <w:pPr>
        <w:spacing w:line="400" w:lineRule="exact"/>
        <w:ind w:firstLine="359" w:firstLineChars="171"/>
      </w:pPr>
      <w:r>
        <w:rPr>
          <w:rFonts w:hint="eastAsia"/>
        </w:rPr>
        <w:t>（3）评标办法；</w:t>
      </w:r>
    </w:p>
    <w:p>
      <w:pPr>
        <w:spacing w:line="400" w:lineRule="exact"/>
        <w:ind w:firstLine="359" w:firstLineChars="171"/>
      </w:pPr>
      <w:r>
        <w:rPr>
          <w:rFonts w:hint="eastAsia"/>
        </w:rPr>
        <w:t>（4）合同条款及格式；</w:t>
      </w:r>
    </w:p>
    <w:p>
      <w:pPr>
        <w:spacing w:line="400" w:lineRule="exact"/>
        <w:ind w:firstLine="359" w:firstLineChars="171"/>
      </w:pPr>
      <w:r>
        <w:rPr>
          <w:rFonts w:hint="eastAsia"/>
        </w:rPr>
        <w:t xml:space="preserve">（5）工程量清单； </w:t>
      </w:r>
    </w:p>
    <w:p>
      <w:pPr>
        <w:spacing w:line="400" w:lineRule="exact"/>
        <w:ind w:firstLine="359" w:firstLineChars="171"/>
      </w:pPr>
      <w:r>
        <w:rPr>
          <w:rFonts w:hint="eastAsia"/>
        </w:rPr>
        <w:t>（6）图纸（</w:t>
      </w:r>
      <w:r>
        <w:rPr>
          <w:rFonts w:hint="eastAsia"/>
          <w:lang w:eastAsia="zh-CN"/>
        </w:rPr>
        <w:t>若有</w:t>
      </w:r>
      <w:r>
        <w:rPr>
          <w:rFonts w:hint="eastAsia"/>
        </w:rPr>
        <w:t>）；</w:t>
      </w:r>
    </w:p>
    <w:p>
      <w:pPr>
        <w:spacing w:line="400" w:lineRule="exact"/>
        <w:ind w:firstLine="359" w:firstLineChars="171"/>
      </w:pPr>
      <w:r>
        <w:rPr>
          <w:rFonts w:hint="eastAsia"/>
        </w:rPr>
        <w:t>（7）技术标准和</w:t>
      </w:r>
      <w:r>
        <w:rPr>
          <w:rFonts w:hint="eastAsia"/>
          <w:lang w:eastAsia="zh-CN"/>
        </w:rPr>
        <w:t>询价</w:t>
      </w:r>
      <w:r>
        <w:rPr>
          <w:rFonts w:hint="eastAsia"/>
        </w:rPr>
        <w:t>项目要求（</w:t>
      </w:r>
      <w:r>
        <w:rPr>
          <w:rFonts w:hint="eastAsia"/>
          <w:lang w:eastAsia="zh-CN"/>
        </w:rPr>
        <w:t>若有</w:t>
      </w:r>
      <w:r>
        <w:rPr>
          <w:rFonts w:hint="eastAsia"/>
        </w:rPr>
        <w:t xml:space="preserve">）； </w:t>
      </w:r>
    </w:p>
    <w:p>
      <w:pPr>
        <w:spacing w:line="400" w:lineRule="exact"/>
        <w:ind w:firstLine="359" w:firstLineChars="171"/>
      </w:pPr>
      <w:r>
        <w:rPr>
          <w:rFonts w:hint="eastAsia"/>
        </w:rPr>
        <w:t>（8）投标文件格式；</w:t>
      </w:r>
    </w:p>
    <w:p>
      <w:pPr>
        <w:spacing w:line="400" w:lineRule="exact"/>
        <w:ind w:firstLine="359" w:firstLineChars="171"/>
      </w:pPr>
      <w:r>
        <w:rPr>
          <w:rFonts w:hint="eastAsia"/>
        </w:rPr>
        <w:t>（9）投标人须知前附表规定的其他材料。</w:t>
      </w:r>
    </w:p>
    <w:p>
      <w:pPr>
        <w:spacing w:line="400" w:lineRule="exact"/>
        <w:ind w:firstLine="420" w:firstLineChars="200"/>
      </w:pPr>
      <w:r>
        <w:rPr>
          <w:rFonts w:hint="eastAsia"/>
        </w:rPr>
        <w:t>2.1.2根据本章第2.2 条对</w:t>
      </w:r>
      <w:r>
        <w:rPr>
          <w:rFonts w:hint="eastAsia"/>
          <w:lang w:eastAsia="zh-CN"/>
        </w:rPr>
        <w:t>询价</w:t>
      </w:r>
      <w:r>
        <w:rPr>
          <w:rFonts w:hint="eastAsia"/>
        </w:rPr>
        <w:t>文件所作的澄清、修改，构成</w:t>
      </w:r>
      <w:r>
        <w:rPr>
          <w:rFonts w:hint="eastAsia"/>
          <w:lang w:eastAsia="zh-CN"/>
        </w:rPr>
        <w:t>询价</w:t>
      </w:r>
      <w:r>
        <w:rPr>
          <w:rFonts w:hint="eastAsia"/>
        </w:rPr>
        <w:t>文件的组成部分。当</w:t>
      </w:r>
      <w:r>
        <w:rPr>
          <w:rFonts w:hint="eastAsia"/>
          <w:lang w:eastAsia="zh-CN"/>
        </w:rPr>
        <w:t>询价</w:t>
      </w:r>
      <w:r>
        <w:rPr>
          <w:rFonts w:hint="eastAsia"/>
        </w:rPr>
        <w:t>文件、</w:t>
      </w:r>
      <w:r>
        <w:rPr>
          <w:rFonts w:hint="eastAsia"/>
          <w:lang w:eastAsia="zh-CN"/>
        </w:rPr>
        <w:t>询价</w:t>
      </w:r>
      <w:r>
        <w:rPr>
          <w:rFonts w:hint="eastAsia"/>
        </w:rPr>
        <w:t>文件的澄清或修改等在同一内容的表述上不一致时，以最后发出的文件为准。</w:t>
      </w:r>
    </w:p>
    <w:p>
      <w:pPr>
        <w:spacing w:line="400" w:lineRule="exact"/>
        <w:ind w:firstLine="420" w:firstLineChars="200"/>
      </w:pPr>
      <w:r>
        <w:rPr>
          <w:rFonts w:hint="eastAsia"/>
        </w:rPr>
        <w:t>构成本</w:t>
      </w:r>
      <w:r>
        <w:rPr>
          <w:rFonts w:hint="eastAsia"/>
          <w:lang w:eastAsia="zh-CN"/>
        </w:rPr>
        <w:t>询价</w:t>
      </w:r>
      <w:r>
        <w:rPr>
          <w:rFonts w:hint="eastAsia"/>
        </w:rPr>
        <w:t>文件的各个组成文件应互为解释、互为说明，如有不明确或不一致的，构成合同组成内容的，以合同文件约定内容为准。同一文件就同一事项的约定不一致的，以逻辑顺序在后者为准。按本款前述规定仍不能形成结论的，由</w:t>
      </w:r>
      <w:r>
        <w:rPr>
          <w:rFonts w:hint="eastAsia"/>
          <w:lang w:eastAsia="zh-CN"/>
        </w:rPr>
        <w:t>询价</w:t>
      </w:r>
      <w:r>
        <w:rPr>
          <w:rFonts w:hint="eastAsia"/>
        </w:rPr>
        <w:t>人或其委托的</w:t>
      </w:r>
      <w:r>
        <w:rPr>
          <w:rFonts w:hint="eastAsia"/>
          <w:lang w:eastAsia="zh-CN"/>
        </w:rPr>
        <w:t>询价</w:t>
      </w:r>
      <w:r>
        <w:rPr>
          <w:rFonts w:hint="eastAsia"/>
        </w:rPr>
        <w:t>部门负责解释。</w:t>
      </w:r>
    </w:p>
    <w:p>
      <w:pPr>
        <w:pStyle w:val="4"/>
        <w:spacing w:line="240" w:lineRule="auto"/>
      </w:pPr>
      <w:bookmarkStart w:id="100" w:name="_Toc152042320"/>
      <w:bookmarkStart w:id="101" w:name="_Toc246996189"/>
      <w:bookmarkStart w:id="102" w:name="_Toc179632562"/>
      <w:bookmarkStart w:id="103" w:name="_Toc439064200"/>
      <w:bookmarkStart w:id="104" w:name="_Toc246996932"/>
      <w:bookmarkStart w:id="105" w:name="_Toc247085703"/>
      <w:bookmarkStart w:id="106" w:name="_Toc144974512"/>
      <w:bookmarkStart w:id="107" w:name="_Toc152045544"/>
      <w:bookmarkStart w:id="108" w:name="_Toc500318566"/>
      <w:r>
        <w:rPr>
          <w:rFonts w:hint="eastAsia"/>
        </w:rPr>
        <w:t xml:space="preserve">2.2 </w:t>
      </w:r>
      <w:r>
        <w:rPr>
          <w:rFonts w:hint="eastAsia"/>
          <w:lang w:eastAsia="zh-CN"/>
        </w:rPr>
        <w:t>询价</w:t>
      </w:r>
      <w:r>
        <w:rPr>
          <w:rFonts w:hint="eastAsia"/>
        </w:rPr>
        <w:t>文件的</w:t>
      </w:r>
      <w:bookmarkStart w:id="109" w:name="_Hlk511226961"/>
      <w:r>
        <w:rPr>
          <w:rFonts w:hint="eastAsia"/>
        </w:rPr>
        <w:t>答疑、补遗、澄清</w:t>
      </w:r>
      <w:bookmarkEnd w:id="100"/>
      <w:bookmarkEnd w:id="101"/>
      <w:bookmarkEnd w:id="102"/>
      <w:bookmarkEnd w:id="103"/>
      <w:bookmarkEnd w:id="104"/>
      <w:bookmarkEnd w:id="105"/>
      <w:bookmarkEnd w:id="106"/>
      <w:bookmarkEnd w:id="107"/>
      <w:r>
        <w:rPr>
          <w:rFonts w:hint="eastAsia"/>
        </w:rPr>
        <w:t>或修改</w:t>
      </w:r>
      <w:bookmarkEnd w:id="108"/>
      <w:bookmarkEnd w:id="109"/>
      <w:r>
        <w:rPr>
          <w:rFonts w:hint="eastAsia"/>
        </w:rPr>
        <w:t xml:space="preserve"> </w:t>
      </w:r>
    </w:p>
    <w:p>
      <w:pPr>
        <w:spacing w:line="400" w:lineRule="exact"/>
        <w:ind w:firstLine="420" w:firstLineChars="200"/>
      </w:pPr>
      <w:bookmarkStart w:id="110" w:name="_Toc144974513"/>
      <w:bookmarkStart w:id="111" w:name="_Toc152045545"/>
      <w:bookmarkStart w:id="112" w:name="_Toc247085704"/>
      <w:bookmarkStart w:id="113" w:name="_Toc179632563"/>
      <w:bookmarkStart w:id="114" w:name="_Toc246996933"/>
      <w:bookmarkStart w:id="115" w:name="_Toc246996190"/>
      <w:bookmarkStart w:id="116" w:name="_Toc152042321"/>
      <w:r>
        <w:rPr>
          <w:rFonts w:hint="eastAsia"/>
        </w:rPr>
        <w:t>2.2.1</w:t>
      </w:r>
      <w:bookmarkStart w:id="117" w:name="_Toc439064201"/>
      <w:bookmarkStart w:id="118" w:name="_Hlk511226926"/>
      <w:r>
        <w:rPr>
          <w:rFonts w:hint="eastAsia"/>
        </w:rPr>
        <w:t>投标人应仔细阅读和检查</w:t>
      </w:r>
      <w:r>
        <w:rPr>
          <w:rFonts w:hint="eastAsia"/>
          <w:lang w:eastAsia="zh-CN"/>
        </w:rPr>
        <w:t>询价</w:t>
      </w:r>
      <w:r>
        <w:rPr>
          <w:rFonts w:hint="eastAsia"/>
        </w:rPr>
        <w:t>文件的全部内容，若有疑问应在投标须知规定的时间前以书面形式提出澄清要求。投标人要求澄清内容必须明确，且以加盖公章扫描件及可编辑电子版在发送至联系人邮箱，否则不予受理。</w:t>
      </w:r>
    </w:p>
    <w:p>
      <w:pPr>
        <w:spacing w:line="400" w:lineRule="exact"/>
        <w:ind w:firstLine="420" w:firstLineChars="200"/>
      </w:pPr>
      <w:r>
        <w:rPr>
          <w:rFonts w:hint="eastAsia"/>
        </w:rPr>
        <w:t>2.2.2</w:t>
      </w:r>
      <w:r>
        <w:rPr>
          <w:rFonts w:hint="eastAsia"/>
          <w:lang w:eastAsia="zh-CN"/>
        </w:rPr>
        <w:t>询价</w:t>
      </w:r>
      <w:r>
        <w:rPr>
          <w:rFonts w:hint="eastAsia"/>
        </w:rPr>
        <w:t>文件发送后，在投标截止时间前的任何时间，</w:t>
      </w:r>
      <w:r>
        <w:rPr>
          <w:rFonts w:hint="eastAsia"/>
          <w:lang w:eastAsia="zh-CN"/>
        </w:rPr>
        <w:t>询价</w:t>
      </w:r>
      <w:r>
        <w:rPr>
          <w:rFonts w:hint="eastAsia"/>
        </w:rPr>
        <w:t>人可以</w:t>
      </w:r>
      <w:r>
        <w:rPr>
          <w:rFonts w:hint="eastAsia" w:ascii="宋体" w:hAnsi="宋体"/>
          <w:szCs w:val="21"/>
        </w:rPr>
        <w:t>通过补遗的方式修改</w:t>
      </w:r>
      <w:r>
        <w:rPr>
          <w:rFonts w:hint="eastAsia" w:ascii="宋体" w:hAnsi="宋体"/>
          <w:szCs w:val="21"/>
          <w:lang w:eastAsia="zh-CN"/>
        </w:rPr>
        <w:t>询价</w:t>
      </w:r>
      <w:r>
        <w:rPr>
          <w:rFonts w:hint="eastAsia" w:ascii="宋体" w:hAnsi="宋体"/>
          <w:szCs w:val="21"/>
        </w:rPr>
        <w:t>文件内容。</w:t>
      </w:r>
      <w:bookmarkEnd w:id="110"/>
      <w:bookmarkEnd w:id="111"/>
      <w:bookmarkEnd w:id="112"/>
      <w:bookmarkEnd w:id="113"/>
      <w:bookmarkEnd w:id="114"/>
      <w:bookmarkEnd w:id="115"/>
      <w:bookmarkEnd w:id="116"/>
      <w:bookmarkEnd w:id="117"/>
      <w:bookmarkStart w:id="119" w:name="_Toc144974514"/>
      <w:bookmarkStart w:id="120" w:name="_Toc152045546"/>
      <w:bookmarkStart w:id="121" w:name="_Toc247085705"/>
      <w:bookmarkStart w:id="122" w:name="_Toc246996191"/>
      <w:bookmarkStart w:id="123" w:name="_Toc179632564"/>
      <w:bookmarkStart w:id="124" w:name="_Toc246996934"/>
      <w:bookmarkStart w:id="125" w:name="_Toc152042322"/>
    </w:p>
    <w:p>
      <w:pPr>
        <w:spacing w:line="400" w:lineRule="exact"/>
        <w:ind w:firstLine="420" w:firstLineChars="200"/>
      </w:pPr>
      <w:r>
        <w:rPr>
          <w:rFonts w:hint="eastAsia" w:ascii="宋体" w:hAnsi="宋体"/>
          <w:szCs w:val="22"/>
        </w:rPr>
        <w:t>2.</w:t>
      </w:r>
      <w:r>
        <w:rPr>
          <w:rFonts w:ascii="宋体" w:hAnsi="宋体"/>
          <w:szCs w:val="22"/>
        </w:rPr>
        <w:t>2</w:t>
      </w:r>
      <w:r>
        <w:rPr>
          <w:rFonts w:hint="eastAsia" w:ascii="宋体" w:hAnsi="宋体"/>
          <w:szCs w:val="22"/>
        </w:rPr>
        <w:t>.</w:t>
      </w:r>
      <w:r>
        <w:rPr>
          <w:rFonts w:ascii="宋体" w:hAnsi="宋体"/>
          <w:szCs w:val="22"/>
        </w:rPr>
        <w:t>3</w:t>
      </w:r>
      <w:r>
        <w:rPr>
          <w:rFonts w:hint="eastAsia" w:ascii="宋体" w:hAnsi="宋体"/>
          <w:szCs w:val="22"/>
          <w:lang w:eastAsia="zh-CN"/>
        </w:rPr>
        <w:t>询价</w:t>
      </w:r>
      <w:r>
        <w:rPr>
          <w:rFonts w:hint="eastAsia" w:ascii="宋体" w:hAnsi="宋体"/>
          <w:szCs w:val="22"/>
        </w:rPr>
        <w:t>人对投标人提出的问题将予以澄清、修改、补充，澄清、修改、补充仅包括对问题的解释，但不说明问题的来源。</w:t>
      </w:r>
      <w:bookmarkEnd w:id="118"/>
    </w:p>
    <w:bookmarkEnd w:id="90"/>
    <w:p>
      <w:pPr>
        <w:pStyle w:val="4"/>
        <w:numPr>
          <w:ilvl w:val="0"/>
          <w:numId w:val="7"/>
        </w:numPr>
        <w:spacing w:line="240" w:lineRule="auto"/>
        <w:ind w:left="0" w:leftChars="0" w:firstLine="0" w:firstLineChars="0"/>
        <w:rPr>
          <w:rFonts w:hint="eastAsia"/>
        </w:rPr>
      </w:pPr>
      <w:bookmarkStart w:id="126" w:name="_Toc500318567"/>
      <w:r>
        <w:rPr>
          <w:rFonts w:hint="eastAsia"/>
        </w:rPr>
        <w:t>投标</w:t>
      </w:r>
      <w:bookmarkEnd w:id="119"/>
      <w:bookmarkEnd w:id="120"/>
      <w:bookmarkEnd w:id="121"/>
      <w:bookmarkEnd w:id="122"/>
      <w:bookmarkEnd w:id="123"/>
      <w:bookmarkEnd w:id="124"/>
      <w:bookmarkEnd w:id="125"/>
      <w:bookmarkEnd w:id="126"/>
      <w:bookmarkStart w:id="127" w:name="_Toc179632565"/>
      <w:bookmarkStart w:id="128" w:name="_Toc247085706"/>
      <w:bookmarkStart w:id="129" w:name="_Toc500318568"/>
      <w:bookmarkStart w:id="130" w:name="_Toc246996935"/>
      <w:bookmarkStart w:id="131" w:name="_Toc152045547"/>
      <w:bookmarkStart w:id="132" w:name="_Toc144974515"/>
      <w:bookmarkStart w:id="133" w:name="_Toc152042323"/>
      <w:bookmarkStart w:id="134" w:name="_Toc439064204"/>
      <w:bookmarkStart w:id="135" w:name="_Toc246996192"/>
    </w:p>
    <w:p>
      <w:pPr>
        <w:pStyle w:val="4"/>
        <w:numPr>
          <w:ilvl w:val="0"/>
          <w:numId w:val="0"/>
        </w:numPr>
        <w:spacing w:line="240" w:lineRule="auto"/>
        <w:ind w:leftChars="0"/>
      </w:pPr>
      <w:r>
        <w:rPr>
          <w:rFonts w:hint="eastAsia"/>
        </w:rPr>
        <w:t>3.1 投标文件的组成</w:t>
      </w:r>
      <w:bookmarkEnd w:id="127"/>
      <w:bookmarkEnd w:id="128"/>
      <w:bookmarkEnd w:id="129"/>
      <w:bookmarkEnd w:id="130"/>
      <w:bookmarkEnd w:id="131"/>
      <w:bookmarkEnd w:id="132"/>
      <w:bookmarkEnd w:id="133"/>
      <w:bookmarkEnd w:id="134"/>
      <w:bookmarkEnd w:id="135"/>
    </w:p>
    <w:p>
      <w:pPr>
        <w:spacing w:line="400" w:lineRule="exact"/>
        <w:ind w:firstLine="420" w:firstLineChars="200"/>
        <w:rPr>
          <w:rFonts w:ascii="宋体" w:hAnsi="宋体"/>
          <w:szCs w:val="22"/>
        </w:rPr>
      </w:pPr>
      <w:bookmarkStart w:id="136" w:name="_Toc144974516"/>
      <w:bookmarkStart w:id="137" w:name="_Toc246996193"/>
      <w:bookmarkStart w:id="138" w:name="_Toc246996936"/>
      <w:bookmarkStart w:id="139" w:name="_Toc152042324"/>
      <w:bookmarkStart w:id="140" w:name="_Toc179632566"/>
      <w:bookmarkStart w:id="141" w:name="_Toc152045548"/>
      <w:bookmarkStart w:id="142" w:name="_Toc247085707"/>
      <w:r>
        <w:rPr>
          <w:rFonts w:hint="eastAsia" w:ascii="宋体" w:hAnsi="宋体"/>
          <w:szCs w:val="22"/>
        </w:rPr>
        <w:t>见投标文件格式</w:t>
      </w:r>
    </w:p>
    <w:p>
      <w:pPr>
        <w:pStyle w:val="4"/>
        <w:spacing w:line="240" w:lineRule="auto"/>
      </w:pPr>
      <w:bookmarkStart w:id="143" w:name="_Toc500318569"/>
      <w:bookmarkStart w:id="144" w:name="_Toc439064205"/>
      <w:r>
        <w:rPr>
          <w:rFonts w:hint="eastAsia"/>
        </w:rPr>
        <w:t>3.2 投标报价</w:t>
      </w:r>
      <w:bookmarkEnd w:id="136"/>
      <w:bookmarkEnd w:id="137"/>
      <w:bookmarkEnd w:id="138"/>
      <w:bookmarkEnd w:id="139"/>
      <w:bookmarkEnd w:id="140"/>
      <w:bookmarkEnd w:id="141"/>
      <w:bookmarkEnd w:id="142"/>
      <w:bookmarkEnd w:id="143"/>
      <w:bookmarkEnd w:id="144"/>
    </w:p>
    <w:p>
      <w:pPr>
        <w:spacing w:line="400" w:lineRule="exact"/>
        <w:ind w:firstLine="420" w:firstLineChars="200"/>
      </w:pPr>
      <w:r>
        <w:rPr>
          <w:rFonts w:hint="eastAsia"/>
        </w:rPr>
        <w:t>3.2.1 投标人应按第五章“工程量清单”的要求填写相应表格。</w:t>
      </w:r>
    </w:p>
    <w:p>
      <w:pPr>
        <w:spacing w:line="400" w:lineRule="exact"/>
        <w:ind w:firstLine="420" w:firstLineChars="200"/>
      </w:pPr>
      <w:bookmarkStart w:id="145" w:name="_Toc179632567"/>
      <w:bookmarkStart w:id="146" w:name="_Toc152045549"/>
      <w:bookmarkStart w:id="147" w:name="_Toc152042325"/>
      <w:bookmarkStart w:id="148" w:name="_Toc144974517"/>
      <w:r>
        <w:rPr>
          <w:rFonts w:hint="eastAsia"/>
        </w:rPr>
        <w:t>3.2.</w:t>
      </w:r>
      <w:r>
        <w:t>2</w:t>
      </w:r>
      <w:r>
        <w:rPr>
          <w:rFonts w:hint="eastAsia"/>
        </w:rPr>
        <w:t xml:space="preserve"> </w:t>
      </w:r>
      <w:r>
        <w:rPr>
          <w:rFonts w:hint="eastAsia"/>
          <w:lang w:eastAsia="zh-CN"/>
        </w:rPr>
        <w:t>询价</w:t>
      </w:r>
      <w:r>
        <w:rPr>
          <w:rFonts w:hint="eastAsia"/>
        </w:rPr>
        <w:t>人设有控制价的，投标人的投标报价不得超过控制价；各单项（子目）设有控制价的，投标人的报价中各单项（子目）不得超过控制价；控制价或其计算方法在投标人须知前附表中载明。</w:t>
      </w:r>
    </w:p>
    <w:p>
      <w:pPr>
        <w:spacing w:line="400" w:lineRule="exact"/>
        <w:ind w:firstLine="420" w:firstLineChars="200"/>
        <w:rPr>
          <w:rFonts w:hint="eastAsia"/>
        </w:rPr>
      </w:pPr>
      <w:r>
        <w:rPr>
          <w:rFonts w:hint="eastAsia"/>
        </w:rPr>
        <w:t>3.2.</w:t>
      </w:r>
      <w:r>
        <w:t>3</w:t>
      </w:r>
      <w:r>
        <w:rPr>
          <w:rFonts w:hint="eastAsia"/>
        </w:rPr>
        <w:t xml:space="preserve"> 投标人应仔细阅读</w:t>
      </w:r>
      <w:r>
        <w:rPr>
          <w:rFonts w:hint="eastAsia"/>
          <w:lang w:eastAsia="zh-CN"/>
        </w:rPr>
        <w:t>询价</w:t>
      </w:r>
      <w:r>
        <w:rPr>
          <w:rFonts w:hint="eastAsia"/>
        </w:rPr>
        <w:t>文件，了解拟投标合同段的全部工程内容。投标人的投标报价应是</w:t>
      </w:r>
      <w:r>
        <w:rPr>
          <w:rFonts w:hint="eastAsia"/>
          <w:lang w:eastAsia="zh-CN"/>
        </w:rPr>
        <w:t>询价</w:t>
      </w:r>
      <w:r>
        <w:rPr>
          <w:rFonts w:hint="eastAsia"/>
        </w:rPr>
        <w:t>文件所确定的</w:t>
      </w:r>
      <w:r>
        <w:rPr>
          <w:rFonts w:hint="eastAsia"/>
          <w:lang w:eastAsia="zh-CN"/>
        </w:rPr>
        <w:t>询价</w:t>
      </w:r>
      <w:r>
        <w:rPr>
          <w:rFonts w:hint="eastAsia"/>
        </w:rPr>
        <w:t>范围内全部工程内容的价格体现，但其投标报价不得低于投标人个别成本价。投标人的投标报价，应是在满足</w:t>
      </w:r>
      <w:r>
        <w:rPr>
          <w:rFonts w:hint="eastAsia"/>
          <w:lang w:eastAsia="zh-CN"/>
        </w:rPr>
        <w:t>询价</w:t>
      </w:r>
      <w:r>
        <w:rPr>
          <w:rFonts w:hint="eastAsia"/>
        </w:rPr>
        <w:t>文件规定工期、质量要求下，完成投标人须知前附表和合同条款上所列</w:t>
      </w:r>
      <w:r>
        <w:rPr>
          <w:rFonts w:hint="eastAsia"/>
          <w:lang w:eastAsia="zh-CN"/>
        </w:rPr>
        <w:t>询价</w:t>
      </w:r>
      <w:r>
        <w:rPr>
          <w:rFonts w:hint="eastAsia"/>
        </w:rPr>
        <w:t>工程范围的全部工作。</w:t>
      </w:r>
    </w:p>
    <w:p>
      <w:pPr>
        <w:spacing w:line="400" w:lineRule="exact"/>
        <w:ind w:firstLine="420" w:firstLineChars="200"/>
      </w:pPr>
      <w:r>
        <w:rPr>
          <w:rFonts w:hint="eastAsia"/>
        </w:rPr>
        <w:t>3.2.</w:t>
      </w:r>
      <w:r>
        <w:t>4</w:t>
      </w:r>
      <w:r>
        <w:rPr>
          <w:rFonts w:hint="eastAsia"/>
        </w:rPr>
        <w:t>投标人应根据当前建设市场行情，结合工程实际情况及本单位的施工方法、材料来源渠道、施工机械装备、施工管理水平等，对投标费用进行分析、测算，实事求是地确定投标报价（不得低于成本价），任何投标优惠都体现在报价内。采用工程量清单报价的</w:t>
      </w:r>
      <w:r>
        <w:rPr>
          <w:rFonts w:hint="eastAsia"/>
          <w:lang w:eastAsia="zh-CN"/>
        </w:rPr>
        <w:t>询价</w:t>
      </w:r>
      <w:r>
        <w:rPr>
          <w:rFonts w:hint="eastAsia"/>
        </w:rPr>
        <w:t>项目，</w:t>
      </w:r>
      <w:r>
        <w:rPr>
          <w:rFonts w:hint="eastAsia"/>
          <w:lang w:eastAsia="zh-CN"/>
        </w:rPr>
        <w:t>询价</w:t>
      </w:r>
      <w:r>
        <w:rPr>
          <w:rFonts w:hint="eastAsia"/>
        </w:rPr>
        <w:t>人不要求投标人采用总价优惠或以总价百分比优惠的方式进行投标报价，其优惠应直接体现在各项投标报价的综合单价中。投标人不得以自有机械闲置、自有材料等为由，不计成本进行恶意低价投标。</w:t>
      </w:r>
    </w:p>
    <w:p>
      <w:pPr>
        <w:spacing w:line="400" w:lineRule="exact"/>
        <w:ind w:firstLine="420" w:firstLineChars="200"/>
      </w:pPr>
      <w:r>
        <w:rPr>
          <w:rFonts w:hint="eastAsia"/>
        </w:rPr>
        <w:t>3.2.</w:t>
      </w:r>
      <w:r>
        <w:t>5</w:t>
      </w:r>
      <w:r>
        <w:rPr>
          <w:rFonts w:hint="eastAsia"/>
        </w:rPr>
        <w:t>投标报价编制依据</w:t>
      </w:r>
    </w:p>
    <w:p>
      <w:pPr>
        <w:spacing w:line="400" w:lineRule="exact"/>
        <w:ind w:firstLine="420" w:firstLineChars="200"/>
      </w:pPr>
      <w:r>
        <w:rPr>
          <w:rFonts w:hint="eastAsia"/>
        </w:rPr>
        <w:t>3.2.</w:t>
      </w:r>
      <w:r>
        <w:t>5</w:t>
      </w:r>
      <w:r>
        <w:rPr>
          <w:rFonts w:hint="eastAsia"/>
        </w:rPr>
        <w:t>.1</w:t>
      </w:r>
      <w:r>
        <w:rPr>
          <w:rFonts w:hint="eastAsia"/>
          <w:lang w:eastAsia="zh-CN"/>
        </w:rPr>
        <w:t>询价</w:t>
      </w:r>
      <w:r>
        <w:rPr>
          <w:rFonts w:hint="eastAsia"/>
        </w:rPr>
        <w:t>文件；</w:t>
      </w:r>
    </w:p>
    <w:p>
      <w:pPr>
        <w:spacing w:line="400" w:lineRule="exact"/>
        <w:ind w:firstLine="420" w:firstLineChars="200"/>
      </w:pPr>
      <w:r>
        <w:rPr>
          <w:rFonts w:hint="eastAsia"/>
        </w:rPr>
        <w:t>3.2.</w:t>
      </w:r>
      <w:r>
        <w:t>5</w:t>
      </w:r>
      <w:r>
        <w:rPr>
          <w:rFonts w:hint="eastAsia"/>
        </w:rPr>
        <w:t>.2设计图纸；</w:t>
      </w:r>
    </w:p>
    <w:p>
      <w:pPr>
        <w:spacing w:line="400" w:lineRule="exact"/>
        <w:ind w:firstLine="420" w:firstLineChars="200"/>
      </w:pPr>
      <w:r>
        <w:rPr>
          <w:rFonts w:hint="eastAsia"/>
        </w:rPr>
        <w:t>3.2.</w:t>
      </w:r>
      <w:r>
        <w:t>5</w:t>
      </w:r>
      <w:r>
        <w:rPr>
          <w:rFonts w:hint="eastAsia"/>
        </w:rPr>
        <w:t>.3工程量清单；</w:t>
      </w:r>
    </w:p>
    <w:p>
      <w:pPr>
        <w:spacing w:line="400" w:lineRule="exact"/>
        <w:ind w:firstLine="420" w:firstLineChars="200"/>
      </w:pPr>
      <w:r>
        <w:rPr>
          <w:rFonts w:hint="eastAsia"/>
        </w:rPr>
        <w:t>3.2.</w:t>
      </w:r>
      <w:r>
        <w:t>5</w:t>
      </w:r>
      <w:r>
        <w:rPr>
          <w:rFonts w:hint="eastAsia"/>
        </w:rPr>
        <w:t>.4澄清、修改、补充中提出的工程技术、质量、工期、承包范围、工器具及设备清单；</w:t>
      </w:r>
    </w:p>
    <w:p>
      <w:pPr>
        <w:spacing w:line="400" w:lineRule="exact"/>
        <w:ind w:firstLine="420" w:firstLineChars="200"/>
      </w:pPr>
      <w:r>
        <w:rPr>
          <w:rFonts w:hint="eastAsia"/>
        </w:rPr>
        <w:t>3.2.</w:t>
      </w:r>
      <w:r>
        <w:t>5</w:t>
      </w:r>
      <w:r>
        <w:rPr>
          <w:rFonts w:hint="eastAsia"/>
        </w:rPr>
        <w:t>.5施工组织设计及施工方案；</w:t>
      </w:r>
    </w:p>
    <w:p>
      <w:pPr>
        <w:spacing w:line="400" w:lineRule="exact"/>
        <w:ind w:firstLine="420" w:firstLineChars="200"/>
      </w:pPr>
      <w:r>
        <w:rPr>
          <w:rFonts w:hint="eastAsia"/>
        </w:rPr>
        <w:t>3.2.</w:t>
      </w:r>
      <w:r>
        <w:t>5</w:t>
      </w:r>
      <w:r>
        <w:rPr>
          <w:rFonts w:hint="eastAsia"/>
        </w:rPr>
        <w:t>.6质量验收规范等国家、行业、地方有关技术标准、规范；</w:t>
      </w:r>
    </w:p>
    <w:p>
      <w:pPr>
        <w:spacing w:line="400" w:lineRule="exact"/>
        <w:ind w:firstLine="420" w:firstLineChars="200"/>
      </w:pPr>
      <w:r>
        <w:rPr>
          <w:rFonts w:hint="eastAsia"/>
        </w:rPr>
        <w:t>3.2.</w:t>
      </w:r>
      <w:r>
        <w:t>5</w:t>
      </w:r>
      <w:r>
        <w:rPr>
          <w:rFonts w:hint="eastAsia"/>
        </w:rPr>
        <w:t>.7施工期间的风险因素。</w:t>
      </w:r>
    </w:p>
    <w:p>
      <w:pPr>
        <w:spacing w:line="360" w:lineRule="exact"/>
        <w:rPr>
          <w:rFonts w:ascii="仿宋_GB2312" w:hAnsi="宋体" w:cs="Courier New"/>
          <w:szCs w:val="21"/>
        </w:rPr>
      </w:pPr>
      <w:r>
        <w:rPr>
          <w:rFonts w:hint="eastAsia" w:ascii="仿宋_GB2312" w:hAnsi="宋体" w:cs="Courier New"/>
          <w:szCs w:val="21"/>
        </w:rPr>
        <w:t>3.2.</w:t>
      </w:r>
      <w:r>
        <w:rPr>
          <w:rFonts w:ascii="仿宋_GB2312" w:hAnsi="宋体" w:cs="Courier New"/>
          <w:szCs w:val="21"/>
        </w:rPr>
        <w:t>6</w:t>
      </w:r>
      <w:r>
        <w:rPr>
          <w:rFonts w:hint="eastAsia" w:ascii="仿宋_GB2312" w:hAnsi="宋体" w:cs="Courier New"/>
          <w:szCs w:val="21"/>
        </w:rPr>
        <w:t>中标人在工程量清单报价书中所报的综合单价一律不予调整。</w:t>
      </w:r>
    </w:p>
    <w:p>
      <w:pPr>
        <w:spacing w:line="360" w:lineRule="exact"/>
        <w:rPr>
          <w:rFonts w:ascii="仿宋_GB2312" w:hAnsi="宋体" w:cs="Courier New"/>
          <w:bCs/>
          <w:szCs w:val="21"/>
        </w:rPr>
      </w:pPr>
      <w:r>
        <w:rPr>
          <w:rFonts w:hint="eastAsia" w:ascii="仿宋_GB2312" w:hAnsi="宋体" w:cs="Courier New"/>
          <w:szCs w:val="21"/>
        </w:rPr>
        <w:t>3.2.</w:t>
      </w:r>
      <w:r>
        <w:rPr>
          <w:rFonts w:ascii="仿宋_GB2312" w:hAnsi="宋体" w:cs="Courier New"/>
          <w:szCs w:val="21"/>
        </w:rPr>
        <w:t>7</w:t>
      </w:r>
      <w:r>
        <w:rPr>
          <w:rFonts w:hint="eastAsia" w:ascii="仿宋_GB2312" w:hAnsi="宋体" w:cs="Courier New"/>
          <w:bCs/>
          <w:szCs w:val="21"/>
        </w:rPr>
        <w:t>本次</w:t>
      </w:r>
      <w:r>
        <w:rPr>
          <w:rFonts w:hint="eastAsia" w:ascii="仿宋_GB2312" w:hAnsi="宋体" w:cs="Courier New"/>
          <w:bCs/>
          <w:szCs w:val="21"/>
          <w:lang w:eastAsia="zh-CN"/>
        </w:rPr>
        <w:t>询价</w:t>
      </w:r>
      <w:r>
        <w:rPr>
          <w:rFonts w:hint="eastAsia" w:ascii="仿宋_GB2312" w:hAnsi="宋体" w:cs="Courier New"/>
          <w:bCs/>
          <w:szCs w:val="21"/>
        </w:rPr>
        <w:t>不接受恶意低价或严重不平衡报价，不保证最低价中标。</w:t>
      </w:r>
    </w:p>
    <w:p>
      <w:pPr>
        <w:pStyle w:val="4"/>
        <w:spacing w:line="240" w:lineRule="auto"/>
      </w:pPr>
      <w:bookmarkStart w:id="149" w:name="_Toc500318570"/>
      <w:bookmarkStart w:id="150" w:name="_Toc439064206"/>
      <w:bookmarkStart w:id="151" w:name="_Toc246996937"/>
      <w:bookmarkStart w:id="152" w:name="_Toc247085708"/>
      <w:bookmarkStart w:id="153" w:name="_Toc246996194"/>
      <w:r>
        <w:rPr>
          <w:rFonts w:hint="eastAsia"/>
        </w:rPr>
        <w:t>3.3 投标有效期</w:t>
      </w:r>
      <w:bookmarkEnd w:id="145"/>
      <w:bookmarkEnd w:id="146"/>
      <w:bookmarkEnd w:id="147"/>
      <w:bookmarkEnd w:id="148"/>
      <w:bookmarkEnd w:id="149"/>
      <w:bookmarkEnd w:id="150"/>
      <w:bookmarkEnd w:id="151"/>
      <w:bookmarkEnd w:id="152"/>
      <w:bookmarkEnd w:id="153"/>
    </w:p>
    <w:p>
      <w:pPr>
        <w:spacing w:line="400" w:lineRule="exact"/>
        <w:ind w:firstLine="420" w:firstLineChars="200"/>
      </w:pPr>
      <w:r>
        <w:rPr>
          <w:rFonts w:hint="eastAsia"/>
        </w:rPr>
        <w:t>3.3.1 投标有效期见投标人须知前附表。</w:t>
      </w:r>
    </w:p>
    <w:p>
      <w:pPr>
        <w:spacing w:line="400" w:lineRule="exact"/>
        <w:ind w:firstLine="420" w:firstLineChars="200"/>
      </w:pPr>
      <w:r>
        <w:rPr>
          <w:rFonts w:hint="eastAsia"/>
        </w:rPr>
        <w:t>3.3.2在投标有效期内，投标人撤回或修改其投标文件的，应承担</w:t>
      </w:r>
      <w:r>
        <w:rPr>
          <w:rFonts w:hint="eastAsia"/>
          <w:lang w:eastAsia="zh-CN"/>
        </w:rPr>
        <w:t>询价</w:t>
      </w:r>
      <w:r>
        <w:rPr>
          <w:rFonts w:hint="eastAsia"/>
        </w:rPr>
        <w:t>文件和法律规定的责任。</w:t>
      </w:r>
    </w:p>
    <w:p>
      <w:pPr>
        <w:spacing w:line="400" w:lineRule="exact"/>
        <w:ind w:firstLine="420" w:firstLineChars="200"/>
        <w:rPr>
          <w:rFonts w:ascii="楷体_GB2312" w:hAnsi="宋体" w:eastAsia="楷体_GB2312"/>
          <w:szCs w:val="21"/>
        </w:rPr>
      </w:pPr>
      <w:r>
        <w:rPr>
          <w:rFonts w:hint="eastAsia"/>
        </w:rPr>
        <w:t>3.3.3出现特殊情况需要延长投标有效期的，</w:t>
      </w:r>
      <w:r>
        <w:rPr>
          <w:rFonts w:hint="eastAsia"/>
          <w:lang w:eastAsia="zh-CN"/>
        </w:rPr>
        <w:t>询价</w:t>
      </w:r>
      <w:r>
        <w:rPr>
          <w:rFonts w:hint="eastAsia"/>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spacing w:line="240" w:lineRule="auto"/>
      </w:pPr>
      <w:bookmarkStart w:id="154" w:name="_Toc246996195"/>
      <w:bookmarkStart w:id="155" w:name="_Toc247085709"/>
      <w:bookmarkStart w:id="156" w:name="_Toc179632568"/>
      <w:bookmarkStart w:id="157" w:name="_Toc152045550"/>
      <w:bookmarkStart w:id="158" w:name="_Toc439064207"/>
      <w:bookmarkStart w:id="159" w:name="_Toc500318571"/>
      <w:bookmarkStart w:id="160" w:name="_Toc144974518"/>
      <w:bookmarkStart w:id="161" w:name="_Toc152042326"/>
      <w:bookmarkStart w:id="162" w:name="_Toc246996938"/>
      <w:r>
        <w:rPr>
          <w:rFonts w:hint="eastAsia"/>
        </w:rPr>
        <w:t>3.4 投标保证金</w:t>
      </w:r>
      <w:bookmarkEnd w:id="154"/>
      <w:bookmarkEnd w:id="155"/>
      <w:bookmarkEnd w:id="156"/>
      <w:bookmarkEnd w:id="157"/>
      <w:bookmarkEnd w:id="158"/>
      <w:bookmarkEnd w:id="159"/>
      <w:bookmarkEnd w:id="160"/>
      <w:bookmarkEnd w:id="161"/>
      <w:bookmarkEnd w:id="162"/>
    </w:p>
    <w:p>
      <w:pPr>
        <w:spacing w:line="360" w:lineRule="auto"/>
        <w:ind w:firstLine="457" w:firstLineChars="218"/>
      </w:pPr>
      <w:r>
        <w:rPr>
          <w:rFonts w:hint="eastAsia"/>
        </w:rPr>
        <w:t>3.4.1</w:t>
      </w:r>
      <w:bookmarkStart w:id="163" w:name="_Hlk491784706"/>
      <w:r>
        <w:rPr>
          <w:rFonts w:hint="eastAsia"/>
        </w:rPr>
        <w:t>投标人在递交投标文件的同时，应按投标人须知前附表规定的金额、形式递交投标保证金，并作为其投标文件的组成部分。</w:t>
      </w:r>
      <w:bookmarkEnd w:id="163"/>
    </w:p>
    <w:p>
      <w:pPr>
        <w:spacing w:line="400" w:lineRule="exact"/>
        <w:ind w:firstLine="420" w:firstLineChars="200"/>
      </w:pPr>
      <w:r>
        <w:rPr>
          <w:rFonts w:hint="eastAsia"/>
        </w:rPr>
        <w:t>3.4.2 投标人不按本章第3.4.1 条要求提交投标保证金的，其投标文件作无效标处理。</w:t>
      </w:r>
    </w:p>
    <w:p>
      <w:pPr>
        <w:spacing w:line="400" w:lineRule="exact"/>
        <w:ind w:firstLine="420" w:firstLineChars="200"/>
      </w:pPr>
      <w:r>
        <w:rPr>
          <w:rFonts w:hint="eastAsia"/>
        </w:rPr>
        <w:t>3.4.3</w:t>
      </w:r>
      <w:bookmarkStart w:id="164" w:name="_Hlk491784745"/>
      <w:r>
        <w:rPr>
          <w:rFonts w:hint="eastAsia"/>
        </w:rPr>
        <w:t>未中标投标人的投标保证金将在</w:t>
      </w:r>
      <w:r>
        <w:rPr>
          <w:rFonts w:hint="eastAsia"/>
          <w:lang w:eastAsia="zh-CN"/>
        </w:rPr>
        <w:t>询价</w:t>
      </w:r>
      <w:r>
        <w:rPr>
          <w:rFonts w:hint="eastAsia"/>
        </w:rPr>
        <w:t>结果公示期满后10个工作日内予以退还（无息）。中标人的投标保证金</w:t>
      </w:r>
      <w:r>
        <w:rPr>
          <w:rFonts w:hint="eastAsia"/>
          <w:lang w:val="en-US" w:eastAsia="zh-CN"/>
        </w:rPr>
        <w:t>转为履约保证金，项目竣工验收合格后60</w:t>
      </w:r>
      <w:r>
        <w:rPr>
          <w:rFonts w:hint="eastAsia"/>
        </w:rPr>
        <w:t>个工作日内予以退还（无息）。</w:t>
      </w:r>
    </w:p>
    <w:p>
      <w:pPr>
        <w:spacing w:line="400" w:lineRule="exact"/>
        <w:ind w:firstLine="420" w:firstLineChars="200"/>
        <w:rPr>
          <w:u w:val="single"/>
        </w:rPr>
      </w:pPr>
      <w:r>
        <w:rPr>
          <w:rFonts w:hint="eastAsia"/>
        </w:rPr>
        <w:t>3.4.4 投标保证金退还联系人：</w:t>
      </w:r>
      <w:bookmarkEnd w:id="164"/>
      <w:bookmarkStart w:id="165" w:name="_Hlk496021245"/>
      <w:r>
        <w:rPr>
          <w:rFonts w:hint="eastAsia"/>
          <w:u w:val="single"/>
        </w:rPr>
        <w:t xml:space="preserve"> </w:t>
      </w:r>
      <w:r>
        <w:rPr>
          <w:rFonts w:hint="eastAsia"/>
          <w:u w:val="single"/>
          <w:lang w:val="en-US" w:eastAsia="zh-CN"/>
        </w:rPr>
        <w:t>陈工</w:t>
      </w:r>
      <w:r>
        <w:rPr>
          <w:rFonts w:hint="eastAsia"/>
          <w:u w:val="single"/>
        </w:rPr>
        <w:t>(</w:t>
      </w:r>
      <w:r>
        <w:rPr>
          <w:rFonts w:hint="eastAsia" w:ascii="Times New Roman" w:hAnsi="Times New Roman" w:cs="Times New Roman"/>
          <w:color w:val="auto"/>
          <w:sz w:val="21"/>
          <w:szCs w:val="22"/>
          <w:highlight w:val="none"/>
          <w:u w:val="single"/>
          <w:lang w:val="en-US" w:eastAsia="zh-CN"/>
        </w:rPr>
        <w:t>18268495766</w:t>
      </w:r>
      <w:r>
        <w:rPr>
          <w:rFonts w:hint="eastAsia"/>
          <w:u w:val="single"/>
        </w:rPr>
        <w:t>)0551-62265213</w:t>
      </w:r>
      <w:r>
        <w:rPr>
          <w:rFonts w:hint="eastAsia"/>
        </w:rPr>
        <w:t xml:space="preserve"> </w:t>
      </w:r>
    </w:p>
    <w:p>
      <w:pPr>
        <w:spacing w:line="400" w:lineRule="exact"/>
        <w:ind w:firstLine="420" w:firstLineChars="200"/>
      </w:pPr>
      <w:r>
        <w:rPr>
          <w:rFonts w:hint="eastAsia"/>
        </w:rPr>
        <w:t>3.4.5若投标人发生以下任一种情况，其缴纳的投标保证金将不予退还：</w:t>
      </w:r>
    </w:p>
    <w:p>
      <w:pPr>
        <w:spacing w:line="400" w:lineRule="exact"/>
        <w:ind w:firstLine="420" w:firstLineChars="200"/>
      </w:pPr>
      <w:r>
        <w:rPr>
          <w:rFonts w:hint="eastAsia"/>
        </w:rPr>
        <w:t>（1）投标人在</w:t>
      </w:r>
      <w:r>
        <w:rPr>
          <w:rFonts w:hint="eastAsia"/>
          <w:lang w:eastAsia="zh-CN"/>
        </w:rPr>
        <w:t>询价</w:t>
      </w:r>
      <w:r>
        <w:rPr>
          <w:rFonts w:hint="eastAsia"/>
        </w:rPr>
        <w:t>文件规定的投标文件有效期内撤销或修改其投标文件；</w:t>
      </w:r>
    </w:p>
    <w:p>
      <w:pPr>
        <w:spacing w:line="400" w:lineRule="exact"/>
        <w:ind w:firstLine="420" w:firstLineChars="200"/>
      </w:pPr>
      <w:r>
        <w:rPr>
          <w:rFonts w:hint="eastAsia"/>
        </w:rPr>
        <w:t>（2）中标人</w:t>
      </w:r>
      <w:bookmarkStart w:id="166" w:name="_Hlk491784570"/>
      <w:r>
        <w:rPr>
          <w:rFonts w:hint="eastAsia"/>
        </w:rPr>
        <w:t>放弃中标或</w:t>
      </w:r>
      <w:bookmarkEnd w:id="166"/>
      <w:r>
        <w:rPr>
          <w:rFonts w:hint="eastAsia"/>
        </w:rPr>
        <w:t>在收到中标通知后拒签合同；</w:t>
      </w:r>
    </w:p>
    <w:p>
      <w:pPr>
        <w:spacing w:line="400" w:lineRule="exact"/>
        <w:ind w:firstLine="420" w:firstLineChars="200"/>
      </w:pPr>
      <w:r>
        <w:rPr>
          <w:rFonts w:hint="eastAsia"/>
        </w:rPr>
        <w:t>（3）中标人未能或拒绝按</w:t>
      </w:r>
      <w:r>
        <w:rPr>
          <w:rFonts w:hint="eastAsia"/>
          <w:lang w:eastAsia="zh-CN"/>
        </w:rPr>
        <w:t>询价</w:t>
      </w:r>
      <w:r>
        <w:rPr>
          <w:rFonts w:hint="eastAsia"/>
        </w:rPr>
        <w:t>文件的要求提交合同履约保证金或银行履约保函；</w:t>
      </w:r>
    </w:p>
    <w:p>
      <w:pPr>
        <w:spacing w:line="400" w:lineRule="exact"/>
        <w:ind w:firstLine="420" w:firstLineChars="200"/>
      </w:pPr>
      <w:r>
        <w:rPr>
          <w:rFonts w:hint="eastAsia"/>
        </w:rPr>
        <w:t>（4）投标人在投标过程中以提供虚假资料等弄虚作假方式投标并查证属实的；</w:t>
      </w:r>
    </w:p>
    <w:p>
      <w:pPr>
        <w:spacing w:line="400" w:lineRule="exact"/>
        <w:ind w:firstLine="420" w:firstLineChars="200"/>
      </w:pPr>
      <w:r>
        <w:rPr>
          <w:rFonts w:hint="eastAsia"/>
        </w:rPr>
        <w:t>（5）投标人相互串通投标</w:t>
      </w:r>
      <w:r>
        <w:rPr>
          <w:rFonts w:hint="eastAsia"/>
          <w:lang w:eastAsia="zh-CN"/>
        </w:rPr>
        <w:t>若有</w:t>
      </w:r>
      <w:r>
        <w:rPr>
          <w:rFonts w:hint="eastAsia"/>
        </w:rPr>
        <w:t>违反法律法规相关规定骗取中标并查证属实的</w:t>
      </w:r>
      <w:bookmarkEnd w:id="165"/>
      <w:r>
        <w:rPr>
          <w:rFonts w:hint="eastAsia"/>
        </w:rPr>
        <w:t>；</w:t>
      </w:r>
    </w:p>
    <w:p>
      <w:pPr>
        <w:spacing w:line="400" w:lineRule="exact"/>
        <w:ind w:firstLine="420" w:firstLineChars="200"/>
      </w:pPr>
      <w:r>
        <w:rPr>
          <w:rFonts w:hint="eastAsia"/>
        </w:rPr>
        <w:t>（6）被认定存在法律法规明确载明可不予退还的其他情形。</w:t>
      </w:r>
    </w:p>
    <w:p>
      <w:pPr>
        <w:pStyle w:val="4"/>
        <w:spacing w:line="240" w:lineRule="auto"/>
      </w:pPr>
      <w:bookmarkStart w:id="167" w:name="_Toc144974524"/>
      <w:bookmarkStart w:id="168" w:name="_Toc439064211"/>
      <w:bookmarkStart w:id="169" w:name="_Toc246996943"/>
      <w:bookmarkStart w:id="170" w:name="_Toc179632574"/>
      <w:bookmarkStart w:id="171" w:name="_Toc246996200"/>
      <w:bookmarkStart w:id="172" w:name="_Toc152042332"/>
      <w:bookmarkStart w:id="173" w:name="_Toc500318573"/>
      <w:bookmarkStart w:id="174" w:name="_Toc247085714"/>
      <w:bookmarkStart w:id="175" w:name="_Toc152045556"/>
      <w:r>
        <w:rPr>
          <w:rFonts w:hint="eastAsia"/>
          <w:lang w:val="en-US" w:eastAsia="zh-CN"/>
        </w:rPr>
        <w:t>3.4</w:t>
      </w:r>
      <w:r>
        <w:rPr>
          <w:rFonts w:hint="eastAsia"/>
        </w:rPr>
        <w:t xml:space="preserve"> 投标文件的密封和标记</w:t>
      </w:r>
      <w:bookmarkEnd w:id="167"/>
      <w:bookmarkEnd w:id="168"/>
      <w:bookmarkEnd w:id="169"/>
      <w:bookmarkEnd w:id="170"/>
      <w:bookmarkEnd w:id="171"/>
      <w:bookmarkEnd w:id="172"/>
      <w:bookmarkEnd w:id="173"/>
      <w:bookmarkEnd w:id="174"/>
      <w:bookmarkEnd w:id="175"/>
    </w:p>
    <w:p>
      <w:pPr>
        <w:spacing w:line="400" w:lineRule="exact"/>
        <w:ind w:firstLine="420" w:firstLineChars="200"/>
      </w:pPr>
      <w:bookmarkStart w:id="176" w:name="_Toc152042333"/>
      <w:bookmarkStart w:id="177" w:name="_Toc179632575"/>
      <w:bookmarkStart w:id="178" w:name="_Toc247085715"/>
      <w:bookmarkStart w:id="179" w:name="_Toc144974525"/>
      <w:bookmarkStart w:id="180" w:name="_Toc246996944"/>
      <w:bookmarkStart w:id="181" w:name="_Toc152045557"/>
      <w:bookmarkStart w:id="182" w:name="_Toc246996201"/>
      <w:r>
        <w:rPr>
          <w:rFonts w:hint="eastAsia"/>
          <w:lang w:val="en-US" w:eastAsia="zh-CN"/>
        </w:rPr>
        <w:t>3.4.1</w:t>
      </w:r>
      <w:r>
        <w:rPr>
          <w:rFonts w:hint="eastAsia"/>
        </w:rPr>
        <w:t xml:space="preserve"> 投标文件应进行包装、加贴封条，并在封套的封口处加盖投标人单位公章。</w:t>
      </w:r>
    </w:p>
    <w:p>
      <w:pPr>
        <w:spacing w:line="400" w:lineRule="exact"/>
        <w:ind w:firstLine="420" w:firstLineChars="200"/>
      </w:pPr>
      <w:r>
        <w:rPr>
          <w:rFonts w:hint="eastAsia"/>
          <w:lang w:val="en-US" w:eastAsia="zh-CN"/>
        </w:rPr>
        <w:t>3.4.2</w:t>
      </w:r>
      <w:r>
        <w:rPr>
          <w:rFonts w:hint="eastAsia"/>
        </w:rPr>
        <w:t xml:space="preserve"> 投标文件封套上应写明的内容见投标人须知前附表。</w:t>
      </w:r>
    </w:p>
    <w:p>
      <w:pPr>
        <w:spacing w:line="400" w:lineRule="exact"/>
        <w:ind w:firstLine="420" w:firstLineChars="200"/>
      </w:pPr>
      <w:r>
        <w:rPr>
          <w:rFonts w:hint="eastAsia"/>
          <w:lang w:val="en-US" w:eastAsia="zh-CN"/>
        </w:rPr>
        <w:t>3.4.3</w:t>
      </w:r>
      <w:r>
        <w:rPr>
          <w:rFonts w:hint="eastAsia"/>
        </w:rPr>
        <w:t xml:space="preserve"> 未按本章要求密封和加写标记的投标文件，</w:t>
      </w:r>
      <w:r>
        <w:rPr>
          <w:rFonts w:hint="eastAsia"/>
          <w:lang w:eastAsia="zh-CN"/>
        </w:rPr>
        <w:t>询价</w:t>
      </w:r>
      <w:r>
        <w:rPr>
          <w:rFonts w:hint="eastAsia"/>
        </w:rPr>
        <w:t>人应予拒收。</w:t>
      </w:r>
    </w:p>
    <w:p>
      <w:pPr>
        <w:pStyle w:val="4"/>
        <w:spacing w:line="240" w:lineRule="auto"/>
      </w:pPr>
      <w:bookmarkStart w:id="183" w:name="_Toc500318574"/>
      <w:bookmarkStart w:id="184" w:name="_Toc439064212"/>
      <w:r>
        <w:rPr>
          <w:rFonts w:hint="eastAsia"/>
          <w:lang w:val="en-US" w:eastAsia="zh-CN"/>
        </w:rPr>
        <w:t>3.5</w:t>
      </w:r>
      <w:r>
        <w:rPr>
          <w:rFonts w:hint="eastAsia"/>
        </w:rPr>
        <w:t xml:space="preserve"> 投标文件的递交</w:t>
      </w:r>
      <w:bookmarkEnd w:id="176"/>
      <w:bookmarkEnd w:id="177"/>
      <w:bookmarkEnd w:id="178"/>
      <w:bookmarkEnd w:id="179"/>
      <w:bookmarkEnd w:id="180"/>
      <w:bookmarkEnd w:id="181"/>
      <w:bookmarkEnd w:id="182"/>
      <w:bookmarkEnd w:id="183"/>
      <w:bookmarkEnd w:id="184"/>
    </w:p>
    <w:p>
      <w:pPr>
        <w:spacing w:line="400" w:lineRule="exact"/>
        <w:ind w:firstLine="420" w:firstLineChars="200"/>
      </w:pPr>
      <w:r>
        <w:rPr>
          <w:rFonts w:hint="eastAsia"/>
          <w:lang w:val="en-US" w:eastAsia="zh-CN"/>
        </w:rPr>
        <w:t>3.5.1</w:t>
      </w:r>
      <w:r>
        <w:rPr>
          <w:rFonts w:hint="eastAsia"/>
        </w:rPr>
        <w:t>投标截止时间</w:t>
      </w:r>
      <w:r>
        <w:rPr>
          <w:rFonts w:hint="eastAsia"/>
          <w:lang w:eastAsia="zh-CN"/>
        </w:rPr>
        <w:t>、</w:t>
      </w:r>
      <w:r>
        <w:rPr>
          <w:rFonts w:hint="eastAsia"/>
        </w:rPr>
        <w:t>递交投标文件的地点</w:t>
      </w:r>
      <w:r>
        <w:rPr>
          <w:rFonts w:hint="eastAsia"/>
          <w:lang w:eastAsia="zh-CN"/>
        </w:rPr>
        <w:t>、</w:t>
      </w:r>
      <w:r>
        <w:rPr>
          <w:rFonts w:hint="eastAsia"/>
          <w:lang w:val="en-US" w:eastAsia="zh-CN"/>
        </w:rPr>
        <w:t>地点</w:t>
      </w:r>
      <w:r>
        <w:rPr>
          <w:rFonts w:hint="eastAsia"/>
        </w:rPr>
        <w:t>：见投标人须知前附表。</w:t>
      </w:r>
    </w:p>
    <w:p>
      <w:pPr>
        <w:spacing w:line="400" w:lineRule="exact"/>
        <w:ind w:firstLine="420" w:firstLineChars="200"/>
      </w:pPr>
      <w:r>
        <w:rPr>
          <w:rFonts w:hint="eastAsia"/>
          <w:lang w:val="en-US" w:eastAsia="zh-CN"/>
        </w:rPr>
        <w:t>3.5.2</w:t>
      </w:r>
      <w:r>
        <w:rPr>
          <w:rFonts w:hint="eastAsia"/>
        </w:rPr>
        <w:t xml:space="preserve"> 除投标人须知前附表另有规定外，投标人所递交的投标文件不予退还。</w:t>
      </w:r>
    </w:p>
    <w:p>
      <w:pPr>
        <w:spacing w:line="400" w:lineRule="exact"/>
        <w:ind w:firstLine="420" w:firstLineChars="200"/>
      </w:pPr>
      <w:r>
        <w:rPr>
          <w:rFonts w:hint="eastAsia"/>
          <w:lang w:val="en-US" w:eastAsia="zh-CN"/>
        </w:rPr>
        <w:t>3.5.3</w:t>
      </w:r>
      <w:r>
        <w:rPr>
          <w:rFonts w:hint="eastAsia"/>
        </w:rPr>
        <w:t>逾期送达的、未按照</w:t>
      </w:r>
      <w:r>
        <w:rPr>
          <w:rFonts w:hint="eastAsia"/>
          <w:lang w:eastAsia="zh-CN"/>
        </w:rPr>
        <w:t>询价</w:t>
      </w:r>
      <w:r>
        <w:rPr>
          <w:rFonts w:hint="eastAsia"/>
        </w:rPr>
        <w:t>文件要求密封的、未送达指定地点的或不符合</w:t>
      </w:r>
      <w:r>
        <w:rPr>
          <w:rFonts w:hint="eastAsia"/>
          <w:lang w:eastAsia="zh-CN"/>
        </w:rPr>
        <w:t>询价</w:t>
      </w:r>
      <w:r>
        <w:rPr>
          <w:rFonts w:hint="eastAsia"/>
        </w:rPr>
        <w:t>文件要求的投标文件，</w:t>
      </w:r>
      <w:r>
        <w:rPr>
          <w:rFonts w:hint="eastAsia"/>
          <w:lang w:eastAsia="zh-CN"/>
        </w:rPr>
        <w:t>询价</w:t>
      </w:r>
      <w:r>
        <w:rPr>
          <w:rFonts w:hint="eastAsia"/>
        </w:rPr>
        <w:t>人不予受理。</w:t>
      </w:r>
    </w:p>
    <w:p>
      <w:pPr>
        <w:pStyle w:val="4"/>
        <w:spacing w:line="240" w:lineRule="auto"/>
      </w:pPr>
      <w:bookmarkStart w:id="185" w:name="_Toc152042335"/>
      <w:bookmarkStart w:id="186" w:name="_Toc179632577"/>
      <w:bookmarkStart w:id="187" w:name="_Toc246996946"/>
      <w:bookmarkStart w:id="188" w:name="_Toc247085717"/>
      <w:bookmarkStart w:id="189" w:name="_Toc500318575"/>
      <w:bookmarkStart w:id="190" w:name="_Toc152045559"/>
      <w:bookmarkStart w:id="191" w:name="_Toc144974527"/>
      <w:bookmarkStart w:id="192" w:name="_Toc246996203"/>
      <w:r>
        <w:rPr>
          <w:rFonts w:hint="eastAsia"/>
          <w:lang w:val="en-US" w:eastAsia="zh-CN"/>
        </w:rPr>
        <w:t>4</w:t>
      </w:r>
      <w:r>
        <w:rPr>
          <w:rFonts w:hint="eastAsia"/>
        </w:rPr>
        <w:t>. 开标</w:t>
      </w:r>
      <w:bookmarkEnd w:id="185"/>
      <w:bookmarkEnd w:id="186"/>
      <w:bookmarkEnd w:id="187"/>
      <w:bookmarkEnd w:id="188"/>
      <w:bookmarkEnd w:id="189"/>
      <w:bookmarkEnd w:id="190"/>
      <w:bookmarkEnd w:id="191"/>
      <w:bookmarkEnd w:id="192"/>
    </w:p>
    <w:p>
      <w:pPr>
        <w:pStyle w:val="4"/>
        <w:spacing w:line="240" w:lineRule="auto"/>
      </w:pPr>
      <w:bookmarkStart w:id="193" w:name="_Toc500318576"/>
      <w:bookmarkStart w:id="194" w:name="_Toc246996204"/>
      <w:bookmarkStart w:id="195" w:name="_Toc179632578"/>
      <w:bookmarkStart w:id="196" w:name="_Toc144974528"/>
      <w:bookmarkStart w:id="197" w:name="_Toc439064215"/>
      <w:bookmarkStart w:id="198" w:name="_Toc152045560"/>
      <w:bookmarkStart w:id="199" w:name="_Toc152042336"/>
      <w:bookmarkStart w:id="200" w:name="_Toc246996947"/>
      <w:bookmarkStart w:id="201" w:name="_Toc247085718"/>
      <w:r>
        <w:rPr>
          <w:rFonts w:hint="eastAsia"/>
          <w:lang w:val="en-US" w:eastAsia="zh-CN"/>
        </w:rPr>
        <w:t>4</w:t>
      </w:r>
      <w:r>
        <w:rPr>
          <w:rFonts w:hint="eastAsia"/>
        </w:rPr>
        <w:t>.1 开标时间和地点</w:t>
      </w:r>
      <w:bookmarkEnd w:id="193"/>
      <w:bookmarkEnd w:id="194"/>
      <w:bookmarkEnd w:id="195"/>
      <w:bookmarkEnd w:id="196"/>
      <w:bookmarkEnd w:id="197"/>
      <w:bookmarkEnd w:id="198"/>
      <w:bookmarkEnd w:id="199"/>
      <w:bookmarkEnd w:id="200"/>
      <w:bookmarkEnd w:id="201"/>
    </w:p>
    <w:p>
      <w:pPr>
        <w:spacing w:line="400" w:lineRule="exact"/>
        <w:ind w:firstLine="420" w:firstLineChars="200"/>
      </w:pPr>
      <w:r>
        <w:rPr>
          <w:rFonts w:hint="eastAsia"/>
          <w:lang w:eastAsia="zh-CN"/>
        </w:rPr>
        <w:t>询价</w:t>
      </w:r>
      <w:r>
        <w:rPr>
          <w:rFonts w:hint="eastAsia"/>
        </w:rPr>
        <w:t>人在投标人须知前附表的投标截止时间（开标时间）和规定的地点公开开标，并邀请所有投标人的法定代表人或其委托代理人准时参加。投标文件的递交须满足投标须知前附表要求，不能满足其要求的，其递交的投标文件将不予评审。</w:t>
      </w:r>
    </w:p>
    <w:p>
      <w:pPr>
        <w:pStyle w:val="4"/>
        <w:spacing w:line="240" w:lineRule="auto"/>
      </w:pPr>
      <w:bookmarkStart w:id="202" w:name="_Toc247085719"/>
      <w:bookmarkStart w:id="203" w:name="_Toc246996205"/>
      <w:bookmarkStart w:id="204" w:name="_Toc500318577"/>
      <w:bookmarkStart w:id="205" w:name="_Toc179632579"/>
      <w:bookmarkStart w:id="206" w:name="_Toc152042337"/>
      <w:bookmarkStart w:id="207" w:name="_Toc152045561"/>
      <w:bookmarkStart w:id="208" w:name="_Toc246996948"/>
      <w:bookmarkStart w:id="209" w:name="_Toc439064216"/>
      <w:bookmarkStart w:id="210" w:name="_Toc144974529"/>
      <w:r>
        <w:rPr>
          <w:rFonts w:hint="eastAsia"/>
          <w:lang w:val="en-US" w:eastAsia="zh-CN"/>
        </w:rPr>
        <w:t>4</w:t>
      </w:r>
      <w:r>
        <w:rPr>
          <w:rFonts w:hint="eastAsia"/>
        </w:rPr>
        <w:t>.2 开标程序</w:t>
      </w:r>
      <w:bookmarkEnd w:id="202"/>
      <w:bookmarkEnd w:id="203"/>
      <w:bookmarkEnd w:id="204"/>
      <w:bookmarkEnd w:id="205"/>
      <w:bookmarkEnd w:id="206"/>
      <w:bookmarkEnd w:id="207"/>
      <w:bookmarkEnd w:id="208"/>
      <w:bookmarkEnd w:id="209"/>
      <w:bookmarkEnd w:id="210"/>
    </w:p>
    <w:p>
      <w:pPr>
        <w:spacing w:line="400" w:lineRule="exact"/>
        <w:ind w:firstLine="420" w:firstLineChars="200"/>
      </w:pPr>
      <w:r>
        <w:rPr>
          <w:rFonts w:hint="eastAsia"/>
        </w:rPr>
        <w:t>主持人按下列程序进行开标：</w:t>
      </w:r>
    </w:p>
    <w:p>
      <w:pPr>
        <w:spacing w:line="400" w:lineRule="exact"/>
        <w:ind w:firstLine="359" w:firstLineChars="171"/>
      </w:pPr>
      <w:r>
        <w:rPr>
          <w:rFonts w:hint="eastAsia"/>
        </w:rPr>
        <w:t>（1）宣布开标纪律；</w:t>
      </w:r>
    </w:p>
    <w:p>
      <w:pPr>
        <w:spacing w:line="400" w:lineRule="exact"/>
        <w:ind w:firstLine="359" w:firstLineChars="171"/>
      </w:pPr>
      <w:r>
        <w:rPr>
          <w:rFonts w:hint="eastAsia"/>
        </w:rPr>
        <w:t>（2）公布在投标截止时间前递交投标文件的投标人的数量及名称；</w:t>
      </w:r>
    </w:p>
    <w:p>
      <w:pPr>
        <w:spacing w:line="400" w:lineRule="exact"/>
        <w:ind w:firstLine="359" w:firstLineChars="171"/>
      </w:pPr>
      <w:r>
        <w:rPr>
          <w:rFonts w:hint="eastAsia"/>
        </w:rPr>
        <w:t>（3）按照投标人须知前附表规定检查投标文件的递交和密封情况；</w:t>
      </w:r>
    </w:p>
    <w:p>
      <w:pPr>
        <w:spacing w:line="400" w:lineRule="exact"/>
        <w:ind w:firstLine="359" w:firstLineChars="171"/>
        <w:rPr>
          <w:rFonts w:hint="eastAsia"/>
        </w:rPr>
      </w:pPr>
      <w:r>
        <w:rPr>
          <w:rFonts w:hint="eastAsia"/>
        </w:rPr>
        <w:t>（</w:t>
      </w:r>
      <w:r>
        <w:t>4</w:t>
      </w:r>
      <w:r>
        <w:rPr>
          <w:rFonts w:hint="eastAsia"/>
        </w:rPr>
        <w:t>）按照投标人须知前附表的规定确定并宣布投标文件开标顺序</w:t>
      </w:r>
      <w:r>
        <w:rPr>
          <w:rFonts w:hint="eastAsia"/>
          <w:lang w:eastAsia="zh-CN"/>
        </w:rPr>
        <w:t>（</w:t>
      </w:r>
      <w:r>
        <w:rPr>
          <w:rFonts w:hint="eastAsia"/>
          <w:lang w:val="en-US" w:eastAsia="zh-CN"/>
        </w:rPr>
        <w:t>开标顺序按照投标签到先后顺序</w:t>
      </w:r>
      <w:r>
        <w:rPr>
          <w:rFonts w:hint="eastAsia"/>
          <w:lang w:eastAsia="zh-CN"/>
        </w:rPr>
        <w:t>）</w:t>
      </w:r>
      <w:r>
        <w:rPr>
          <w:rFonts w:hint="eastAsia"/>
        </w:rPr>
        <w:t>；</w:t>
      </w:r>
    </w:p>
    <w:p>
      <w:pPr>
        <w:spacing w:line="400" w:lineRule="exact"/>
        <w:ind w:firstLine="359" w:firstLineChars="171"/>
      </w:pPr>
      <w:r>
        <w:rPr>
          <w:rFonts w:hint="eastAsia"/>
        </w:rPr>
        <w:t>（</w:t>
      </w:r>
      <w:r>
        <w:t>5</w:t>
      </w:r>
      <w:r>
        <w:rPr>
          <w:rFonts w:hint="eastAsia"/>
        </w:rPr>
        <w:t>）设有控制价的，现场公布控制价；按评标办法规定需要抽取系数或权重的，现场抽取（如有）</w:t>
      </w:r>
    </w:p>
    <w:p>
      <w:pPr>
        <w:spacing w:line="400" w:lineRule="exact"/>
        <w:ind w:firstLine="359" w:firstLineChars="171"/>
      </w:pPr>
      <w:r>
        <w:rPr>
          <w:rFonts w:hint="eastAsia"/>
        </w:rPr>
        <w:t>（</w:t>
      </w:r>
      <w:r>
        <w:t>6</w:t>
      </w:r>
      <w:r>
        <w:rPr>
          <w:rFonts w:hint="eastAsia"/>
        </w:rPr>
        <w:t>）按照宣布的开标顺序当众开标，公布投标人名称、标段名称、投标报价等内容，并记录在案；</w:t>
      </w:r>
    </w:p>
    <w:p>
      <w:pPr>
        <w:spacing w:line="400" w:lineRule="exact"/>
        <w:ind w:firstLine="359" w:firstLineChars="171"/>
      </w:pPr>
      <w:r>
        <w:rPr>
          <w:rFonts w:hint="eastAsia"/>
        </w:rPr>
        <w:t>（</w:t>
      </w:r>
      <w:r>
        <w:t>7</w:t>
      </w:r>
      <w:r>
        <w:rPr>
          <w:rFonts w:hint="eastAsia"/>
        </w:rPr>
        <w:t>）投标人代表、</w:t>
      </w:r>
      <w:r>
        <w:rPr>
          <w:rFonts w:hint="eastAsia"/>
          <w:lang w:eastAsia="zh-CN"/>
        </w:rPr>
        <w:t>询价</w:t>
      </w:r>
      <w:r>
        <w:rPr>
          <w:rFonts w:hint="eastAsia"/>
        </w:rPr>
        <w:t>人代表、记录人等有关人员在开标记录上签字确认；</w:t>
      </w:r>
    </w:p>
    <w:p>
      <w:pPr>
        <w:spacing w:line="400" w:lineRule="exact"/>
        <w:ind w:firstLine="359" w:firstLineChars="171"/>
      </w:pPr>
      <w:r>
        <w:rPr>
          <w:rFonts w:hint="eastAsia"/>
        </w:rPr>
        <w:t>（</w:t>
      </w:r>
      <w:r>
        <w:t>8</w:t>
      </w:r>
      <w:r>
        <w:rPr>
          <w:rFonts w:hint="eastAsia"/>
        </w:rPr>
        <w:t>）开标结束。</w:t>
      </w:r>
    </w:p>
    <w:p>
      <w:pPr>
        <w:pStyle w:val="4"/>
        <w:spacing w:line="240" w:lineRule="auto"/>
      </w:pPr>
      <w:bookmarkStart w:id="211" w:name="_Toc439064217"/>
      <w:bookmarkStart w:id="212" w:name="_Toc500318578"/>
      <w:r>
        <w:rPr>
          <w:rFonts w:hint="eastAsia"/>
          <w:lang w:val="en-US" w:eastAsia="zh-CN"/>
        </w:rPr>
        <w:t>4</w:t>
      </w:r>
      <w:r>
        <w:rPr>
          <w:rFonts w:hint="eastAsia"/>
        </w:rPr>
        <w:t>.3 开标异议</w:t>
      </w:r>
      <w:bookmarkEnd w:id="211"/>
      <w:bookmarkEnd w:id="212"/>
    </w:p>
    <w:p>
      <w:pPr>
        <w:spacing w:line="400" w:lineRule="exact"/>
        <w:ind w:firstLine="359" w:firstLineChars="171"/>
      </w:pPr>
      <w:r>
        <w:rPr>
          <w:rFonts w:hint="eastAsia"/>
        </w:rPr>
        <w:t>投标人对开标有异议的，应当在开标现场提出，</w:t>
      </w:r>
      <w:r>
        <w:rPr>
          <w:rFonts w:hint="eastAsia"/>
          <w:lang w:eastAsia="zh-CN"/>
        </w:rPr>
        <w:t>询价</w:t>
      </w:r>
      <w:r>
        <w:rPr>
          <w:rFonts w:hint="eastAsia"/>
        </w:rPr>
        <w:t>人或</w:t>
      </w:r>
      <w:r>
        <w:rPr>
          <w:rFonts w:hint="eastAsia"/>
          <w:lang w:eastAsia="zh-CN"/>
        </w:rPr>
        <w:t>询价</w:t>
      </w:r>
      <w:r>
        <w:rPr>
          <w:rFonts w:hint="eastAsia"/>
        </w:rPr>
        <w:t>部门当场作出答复，并做好记录；开标会议结束前未现场提出异议的，投标人不得再就开标过程提出异议或质疑。</w:t>
      </w:r>
    </w:p>
    <w:p>
      <w:pPr>
        <w:pStyle w:val="4"/>
        <w:spacing w:line="240" w:lineRule="auto"/>
      </w:pPr>
      <w:bookmarkStart w:id="213" w:name="_Toc152042338"/>
      <w:bookmarkStart w:id="214" w:name="_Toc144974530"/>
      <w:bookmarkStart w:id="215" w:name="_Toc500318579"/>
      <w:bookmarkStart w:id="216" w:name="_Toc246996949"/>
      <w:bookmarkStart w:id="217" w:name="_Toc247085720"/>
      <w:bookmarkStart w:id="218" w:name="_Toc152045562"/>
      <w:bookmarkStart w:id="219" w:name="_Toc246996206"/>
      <w:bookmarkStart w:id="220" w:name="_Toc179632580"/>
      <w:r>
        <w:rPr>
          <w:rFonts w:hint="eastAsia"/>
          <w:lang w:val="en-US" w:eastAsia="zh-CN"/>
        </w:rPr>
        <w:t>5</w:t>
      </w:r>
      <w:r>
        <w:rPr>
          <w:rFonts w:hint="eastAsia"/>
        </w:rPr>
        <w:t>. 评标</w:t>
      </w:r>
      <w:bookmarkEnd w:id="213"/>
      <w:bookmarkEnd w:id="214"/>
      <w:bookmarkEnd w:id="215"/>
      <w:bookmarkEnd w:id="216"/>
      <w:bookmarkEnd w:id="217"/>
      <w:bookmarkEnd w:id="218"/>
      <w:bookmarkEnd w:id="219"/>
      <w:bookmarkEnd w:id="220"/>
    </w:p>
    <w:p>
      <w:pPr>
        <w:pStyle w:val="4"/>
        <w:spacing w:line="240" w:lineRule="auto"/>
      </w:pPr>
      <w:bookmarkStart w:id="221" w:name="_Toc247085721"/>
      <w:bookmarkStart w:id="222" w:name="_Toc152045563"/>
      <w:bookmarkStart w:id="223" w:name="_Toc500318580"/>
      <w:bookmarkStart w:id="224" w:name="_Toc179632581"/>
      <w:bookmarkStart w:id="225" w:name="_Toc152042339"/>
      <w:bookmarkStart w:id="226" w:name="_Toc246996207"/>
      <w:bookmarkStart w:id="227" w:name="_Toc144974531"/>
      <w:bookmarkStart w:id="228" w:name="_Toc439064219"/>
      <w:bookmarkStart w:id="229" w:name="_Toc246996950"/>
      <w:r>
        <w:rPr>
          <w:rFonts w:hint="eastAsia"/>
          <w:lang w:val="en-US" w:eastAsia="zh-CN"/>
        </w:rPr>
        <w:t>5</w:t>
      </w:r>
      <w:r>
        <w:rPr>
          <w:rFonts w:hint="eastAsia"/>
        </w:rPr>
        <w:t>.1 评标委员会</w:t>
      </w:r>
      <w:bookmarkEnd w:id="221"/>
      <w:bookmarkEnd w:id="222"/>
      <w:bookmarkEnd w:id="223"/>
      <w:bookmarkEnd w:id="224"/>
      <w:bookmarkEnd w:id="225"/>
      <w:bookmarkEnd w:id="226"/>
      <w:bookmarkEnd w:id="227"/>
      <w:bookmarkEnd w:id="228"/>
      <w:bookmarkEnd w:id="229"/>
    </w:p>
    <w:p>
      <w:pPr>
        <w:spacing w:line="400" w:lineRule="exact"/>
        <w:ind w:firstLine="420" w:firstLineChars="200"/>
      </w:pPr>
      <w:r>
        <w:rPr>
          <w:rFonts w:hint="eastAsia"/>
          <w:lang w:val="en-US" w:eastAsia="zh-CN"/>
        </w:rPr>
        <w:t>5</w:t>
      </w:r>
      <w:r>
        <w:rPr>
          <w:rFonts w:hint="eastAsia"/>
        </w:rPr>
        <w:t>.1.1评标由</w:t>
      </w:r>
      <w:r>
        <w:rPr>
          <w:rFonts w:hint="eastAsia"/>
          <w:lang w:eastAsia="zh-CN"/>
        </w:rPr>
        <w:t>询价</w:t>
      </w:r>
      <w:r>
        <w:rPr>
          <w:rFonts w:hint="eastAsia"/>
        </w:rPr>
        <w:t>人评标</w:t>
      </w:r>
      <w:r>
        <w:rPr>
          <w:rFonts w:hint="eastAsia"/>
          <w:lang w:val="en-US" w:eastAsia="zh-CN"/>
        </w:rPr>
        <w:t>小组</w:t>
      </w:r>
      <w:r>
        <w:rPr>
          <w:rFonts w:hint="eastAsia"/>
        </w:rPr>
        <w:t>库中抽取的评标委员会负责。</w:t>
      </w:r>
    </w:p>
    <w:p>
      <w:pPr>
        <w:spacing w:line="400" w:lineRule="exact"/>
        <w:ind w:firstLine="420" w:firstLineChars="200"/>
      </w:pPr>
      <w:r>
        <w:rPr>
          <w:rFonts w:hint="eastAsia"/>
          <w:lang w:val="en-US" w:eastAsia="zh-CN"/>
        </w:rPr>
        <w:t>5.</w:t>
      </w:r>
      <w:r>
        <w:rPr>
          <w:rFonts w:hint="eastAsia"/>
        </w:rPr>
        <w:t>1.2 采用公开</w:t>
      </w:r>
      <w:r>
        <w:rPr>
          <w:rFonts w:hint="eastAsia"/>
          <w:lang w:eastAsia="zh-CN"/>
        </w:rPr>
        <w:t>询价</w:t>
      </w:r>
      <w:r>
        <w:rPr>
          <w:rFonts w:hint="eastAsia"/>
        </w:rPr>
        <w:t>、邀请</w:t>
      </w:r>
      <w:r>
        <w:rPr>
          <w:rFonts w:hint="eastAsia"/>
          <w:lang w:eastAsia="zh-CN"/>
        </w:rPr>
        <w:t>询价</w:t>
      </w:r>
      <w:r>
        <w:rPr>
          <w:rFonts w:hint="eastAsia"/>
        </w:rPr>
        <w:t>、竞争性磋商以及达到应</w:t>
      </w:r>
      <w:r>
        <w:rPr>
          <w:rFonts w:hint="eastAsia"/>
          <w:lang w:eastAsia="zh-CN"/>
        </w:rPr>
        <w:t>询价</w:t>
      </w:r>
      <w:r>
        <w:rPr>
          <w:rFonts w:hint="eastAsia"/>
        </w:rPr>
        <w:t>金额的竞争性谈判等方式进行采购的项目，评标委员会成员人数为五人及以上单数。采用单一来源、未达到应</w:t>
      </w:r>
      <w:r>
        <w:rPr>
          <w:rFonts w:hint="eastAsia"/>
          <w:lang w:eastAsia="zh-CN"/>
        </w:rPr>
        <w:t>询价</w:t>
      </w:r>
      <w:r>
        <w:rPr>
          <w:rFonts w:hint="eastAsia"/>
        </w:rPr>
        <w:t>金额的竞争性谈判等其他方式进行采购的，评标委员会成员人数可以为三人及以上单数。</w:t>
      </w:r>
    </w:p>
    <w:p>
      <w:pPr>
        <w:spacing w:line="400" w:lineRule="exact"/>
        <w:ind w:firstLine="420" w:firstLineChars="200"/>
      </w:pPr>
      <w:r>
        <w:rPr>
          <w:rFonts w:hint="eastAsia"/>
          <w:lang w:val="en-US" w:eastAsia="zh-CN"/>
        </w:rPr>
        <w:t>5</w:t>
      </w:r>
      <w:r>
        <w:rPr>
          <w:rFonts w:hint="eastAsia"/>
        </w:rPr>
        <w:t>.1.3评标委员会成员有下列情形之一的，应当主动提出回避：</w:t>
      </w:r>
    </w:p>
    <w:p>
      <w:pPr>
        <w:spacing w:line="400" w:lineRule="exact"/>
        <w:ind w:firstLine="359" w:firstLineChars="171"/>
      </w:pPr>
      <w:r>
        <w:rPr>
          <w:rFonts w:hint="eastAsia"/>
        </w:rPr>
        <w:t>（1）投标人或投标人主要负责人的近亲属；</w:t>
      </w:r>
    </w:p>
    <w:p>
      <w:pPr>
        <w:spacing w:line="400" w:lineRule="exact"/>
        <w:ind w:firstLine="359" w:firstLineChars="171"/>
      </w:pPr>
      <w:r>
        <w:rPr>
          <w:rFonts w:hint="eastAsia"/>
        </w:rPr>
        <w:t>（2）与投标人有经济利益关系；</w:t>
      </w:r>
    </w:p>
    <w:p>
      <w:pPr>
        <w:spacing w:line="400" w:lineRule="exact"/>
        <w:ind w:firstLine="359" w:firstLineChars="171"/>
      </w:pPr>
      <w:r>
        <w:rPr>
          <w:rFonts w:hint="eastAsia"/>
        </w:rPr>
        <w:t>（</w:t>
      </w:r>
      <w:r>
        <w:t>3</w:t>
      </w:r>
      <w:r>
        <w:rPr>
          <w:rFonts w:hint="eastAsia"/>
        </w:rPr>
        <w:t>）与投标人有其他利害关系；</w:t>
      </w:r>
    </w:p>
    <w:p>
      <w:pPr>
        <w:spacing w:line="400" w:lineRule="exact"/>
        <w:ind w:firstLine="420" w:firstLineChars="200"/>
        <w:rPr>
          <w:rFonts w:ascii="宋体" w:hAnsi="宋体"/>
          <w:szCs w:val="22"/>
        </w:rPr>
      </w:pPr>
      <w:r>
        <w:rPr>
          <w:rFonts w:hint="eastAsia" w:ascii="宋体" w:hAnsi="宋体"/>
          <w:szCs w:val="22"/>
          <w:lang w:val="en-US" w:eastAsia="zh-CN"/>
        </w:rPr>
        <w:t>5</w:t>
      </w:r>
      <w:r>
        <w:rPr>
          <w:rFonts w:hint="eastAsia" w:ascii="宋体" w:hAnsi="宋体"/>
          <w:szCs w:val="22"/>
        </w:rPr>
        <w:t>.1.4评标委员会应当根据</w:t>
      </w:r>
      <w:r>
        <w:rPr>
          <w:rFonts w:hint="eastAsia" w:ascii="宋体" w:hAnsi="宋体"/>
          <w:szCs w:val="22"/>
          <w:lang w:eastAsia="zh-CN"/>
        </w:rPr>
        <w:t>询价</w:t>
      </w:r>
      <w:r>
        <w:rPr>
          <w:rFonts w:hint="eastAsia" w:ascii="宋体" w:hAnsi="宋体"/>
          <w:szCs w:val="22"/>
        </w:rPr>
        <w:t>文件及其所列的评标办法，对投标文件进行系统地评审和比较，向</w:t>
      </w:r>
      <w:r>
        <w:rPr>
          <w:rFonts w:hint="eastAsia" w:ascii="宋体" w:hAnsi="宋体"/>
          <w:szCs w:val="22"/>
          <w:lang w:eastAsia="zh-CN"/>
        </w:rPr>
        <w:t>询价</w:t>
      </w:r>
      <w:r>
        <w:rPr>
          <w:rFonts w:hint="eastAsia" w:ascii="宋体" w:hAnsi="宋体"/>
          <w:szCs w:val="22"/>
        </w:rPr>
        <w:t>人推荐中标候选人或根据</w:t>
      </w:r>
      <w:r>
        <w:rPr>
          <w:rFonts w:hint="eastAsia" w:ascii="宋体" w:hAnsi="宋体"/>
          <w:szCs w:val="22"/>
          <w:lang w:eastAsia="zh-CN"/>
        </w:rPr>
        <w:t>询价</w:t>
      </w:r>
      <w:r>
        <w:rPr>
          <w:rFonts w:hint="eastAsia" w:ascii="宋体" w:hAnsi="宋体"/>
          <w:szCs w:val="22"/>
        </w:rPr>
        <w:t>人的授权直接确定中标人。</w:t>
      </w:r>
    </w:p>
    <w:p>
      <w:pPr>
        <w:pStyle w:val="4"/>
        <w:spacing w:line="240" w:lineRule="auto"/>
      </w:pPr>
      <w:bookmarkStart w:id="230" w:name="_Toc152045564"/>
      <w:bookmarkStart w:id="231" w:name="_Toc179632582"/>
      <w:bookmarkStart w:id="232" w:name="_Toc246996208"/>
      <w:bookmarkStart w:id="233" w:name="_Toc152042340"/>
      <w:bookmarkStart w:id="234" w:name="_Toc500318581"/>
      <w:bookmarkStart w:id="235" w:name="_Toc247085722"/>
      <w:bookmarkStart w:id="236" w:name="_Toc246996951"/>
      <w:bookmarkStart w:id="237" w:name="_Toc439064220"/>
      <w:bookmarkStart w:id="238" w:name="_Toc144974532"/>
      <w:r>
        <w:rPr>
          <w:rFonts w:hint="eastAsia"/>
          <w:lang w:val="en-US" w:eastAsia="zh-CN"/>
        </w:rPr>
        <w:t>5</w:t>
      </w:r>
      <w:r>
        <w:rPr>
          <w:rFonts w:hint="eastAsia"/>
        </w:rPr>
        <w:t>.2 评标原则</w:t>
      </w:r>
      <w:bookmarkEnd w:id="230"/>
      <w:bookmarkEnd w:id="231"/>
      <w:bookmarkEnd w:id="232"/>
      <w:bookmarkEnd w:id="233"/>
      <w:bookmarkEnd w:id="234"/>
      <w:bookmarkEnd w:id="235"/>
      <w:bookmarkEnd w:id="236"/>
      <w:bookmarkEnd w:id="237"/>
      <w:bookmarkEnd w:id="238"/>
    </w:p>
    <w:p>
      <w:pPr>
        <w:spacing w:line="400" w:lineRule="exact"/>
        <w:ind w:firstLine="420" w:firstLineChars="200"/>
      </w:pPr>
      <w:r>
        <w:rPr>
          <w:rFonts w:hint="eastAsia"/>
        </w:rPr>
        <w:t>遵循“公平、公正、科学、择优”原则，推荐能够满足</w:t>
      </w:r>
      <w:r>
        <w:rPr>
          <w:rFonts w:hint="eastAsia"/>
          <w:lang w:eastAsia="zh-CN"/>
        </w:rPr>
        <w:t>询价</w:t>
      </w:r>
      <w:r>
        <w:rPr>
          <w:rFonts w:hint="eastAsia"/>
        </w:rPr>
        <w:t>文件实质性要求和投标人须知规定数量的中标候选人。</w:t>
      </w:r>
    </w:p>
    <w:p>
      <w:pPr>
        <w:pStyle w:val="4"/>
        <w:spacing w:line="240" w:lineRule="auto"/>
      </w:pPr>
      <w:bookmarkStart w:id="239" w:name="_Toc246996952"/>
      <w:bookmarkStart w:id="240" w:name="_Toc247085723"/>
      <w:bookmarkStart w:id="241" w:name="_Toc246996209"/>
      <w:bookmarkStart w:id="242" w:name="_Toc144974533"/>
      <w:bookmarkStart w:id="243" w:name="_Toc439064221"/>
      <w:bookmarkStart w:id="244" w:name="_Toc152045565"/>
      <w:bookmarkStart w:id="245" w:name="_Toc179632583"/>
      <w:bookmarkStart w:id="246" w:name="_Toc500318582"/>
      <w:bookmarkStart w:id="247" w:name="_Toc152042341"/>
      <w:r>
        <w:rPr>
          <w:rFonts w:hint="eastAsia"/>
          <w:lang w:val="en-US" w:eastAsia="zh-CN"/>
        </w:rPr>
        <w:t>5</w:t>
      </w:r>
      <w:r>
        <w:rPr>
          <w:rFonts w:hint="eastAsia"/>
        </w:rPr>
        <w:t>.3 评标</w:t>
      </w:r>
      <w:bookmarkEnd w:id="239"/>
      <w:bookmarkEnd w:id="240"/>
      <w:bookmarkEnd w:id="241"/>
      <w:bookmarkEnd w:id="242"/>
      <w:bookmarkEnd w:id="243"/>
      <w:bookmarkEnd w:id="244"/>
      <w:bookmarkEnd w:id="245"/>
      <w:bookmarkEnd w:id="246"/>
      <w:bookmarkEnd w:id="247"/>
    </w:p>
    <w:p>
      <w:pPr>
        <w:spacing w:line="400" w:lineRule="exact"/>
        <w:ind w:firstLine="420" w:firstLineChars="200"/>
      </w:pPr>
      <w:bookmarkStart w:id="248" w:name="_Hlk496023579"/>
      <w:r>
        <w:rPr>
          <w:rFonts w:hint="eastAsia"/>
          <w:lang w:val="en-US" w:eastAsia="zh-CN"/>
        </w:rPr>
        <w:t>5</w:t>
      </w:r>
      <w:r>
        <w:rPr>
          <w:rFonts w:hint="eastAsia"/>
        </w:rPr>
        <w:t>.3.1 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ascii="宋体" w:hAnsi="宋体"/>
          <w:szCs w:val="22"/>
        </w:rPr>
      </w:pPr>
      <w:bookmarkStart w:id="249" w:name="_Hlk497292097"/>
      <w:r>
        <w:rPr>
          <w:rFonts w:hint="eastAsia" w:ascii="宋体" w:hAnsi="宋体"/>
          <w:szCs w:val="22"/>
          <w:lang w:val="en-US" w:eastAsia="zh-CN"/>
        </w:rPr>
        <w:t>5</w:t>
      </w:r>
      <w:r>
        <w:rPr>
          <w:rFonts w:hint="eastAsia" w:ascii="宋体" w:hAnsi="宋体"/>
          <w:szCs w:val="22"/>
        </w:rPr>
        <w:t>.3.2  各评委独立评审，提出评审意见，不受任何单位或者个人的干预。</w:t>
      </w:r>
    </w:p>
    <w:p>
      <w:pPr>
        <w:spacing w:line="400" w:lineRule="exact"/>
        <w:ind w:firstLine="420" w:firstLineChars="200"/>
        <w:rPr>
          <w:rFonts w:ascii="宋体" w:hAnsi="宋体"/>
          <w:szCs w:val="22"/>
        </w:rPr>
      </w:pPr>
      <w:r>
        <w:rPr>
          <w:rFonts w:hint="eastAsia" w:ascii="宋体" w:hAnsi="宋体"/>
          <w:szCs w:val="22"/>
          <w:lang w:val="en-US" w:eastAsia="zh-CN"/>
        </w:rPr>
        <w:t>5</w:t>
      </w:r>
      <w:r>
        <w:rPr>
          <w:rFonts w:hint="eastAsia" w:ascii="宋体" w:hAnsi="宋体"/>
          <w:szCs w:val="22"/>
        </w:rPr>
        <w:t>.</w:t>
      </w:r>
      <w:bookmarkStart w:id="250" w:name="_Hlk497291975"/>
      <w:r>
        <w:rPr>
          <w:rFonts w:hint="eastAsia" w:ascii="宋体" w:hAnsi="宋体"/>
          <w:szCs w:val="22"/>
        </w:rPr>
        <w:t>3.3有下列情形之一的，评标委员会应当否决其投标：</w:t>
      </w:r>
    </w:p>
    <w:p>
      <w:pPr>
        <w:spacing w:line="400" w:lineRule="exact"/>
        <w:ind w:firstLine="420" w:firstLineChars="200"/>
        <w:rPr>
          <w:rFonts w:ascii="宋体" w:hAnsi="宋体"/>
          <w:szCs w:val="22"/>
        </w:rPr>
      </w:pPr>
      <w:r>
        <w:rPr>
          <w:rFonts w:hint="eastAsia" w:ascii="宋体" w:hAnsi="宋体"/>
          <w:szCs w:val="22"/>
        </w:rPr>
        <w:t>⑴投标文件未按照</w:t>
      </w:r>
      <w:r>
        <w:rPr>
          <w:rFonts w:hint="eastAsia" w:ascii="宋体" w:hAnsi="宋体"/>
          <w:szCs w:val="22"/>
          <w:lang w:eastAsia="zh-CN"/>
        </w:rPr>
        <w:t>询价</w:t>
      </w:r>
      <w:r>
        <w:rPr>
          <w:rFonts w:hint="eastAsia" w:ascii="宋体" w:hAnsi="宋体"/>
          <w:szCs w:val="22"/>
        </w:rPr>
        <w:t>文件规定签字或加盖投标人公章的；</w:t>
      </w:r>
    </w:p>
    <w:p>
      <w:pPr>
        <w:spacing w:line="400" w:lineRule="exact"/>
        <w:ind w:firstLine="420" w:firstLineChars="200"/>
        <w:rPr>
          <w:rFonts w:ascii="宋体" w:hAnsi="宋体"/>
          <w:szCs w:val="22"/>
        </w:rPr>
      </w:pPr>
      <w:r>
        <w:rPr>
          <w:rFonts w:hint="eastAsia" w:ascii="宋体" w:hAnsi="宋体"/>
          <w:szCs w:val="22"/>
        </w:rPr>
        <w:t>⑵投标联合体没有提交共同投标协议的</w:t>
      </w:r>
      <w:bookmarkStart w:id="251" w:name="_Hlk500316284"/>
      <w:r>
        <w:rPr>
          <w:rFonts w:hint="eastAsia" w:ascii="宋体" w:hAnsi="宋体"/>
          <w:szCs w:val="22"/>
        </w:rPr>
        <w:t>（如有）</w:t>
      </w:r>
      <w:bookmarkEnd w:id="251"/>
      <w:r>
        <w:rPr>
          <w:rFonts w:hint="eastAsia" w:ascii="宋体" w:hAnsi="宋体"/>
          <w:szCs w:val="22"/>
        </w:rPr>
        <w:t>；</w:t>
      </w:r>
    </w:p>
    <w:p>
      <w:pPr>
        <w:spacing w:line="400" w:lineRule="exact"/>
        <w:ind w:firstLine="420" w:firstLineChars="200"/>
        <w:rPr>
          <w:rFonts w:ascii="宋体" w:hAnsi="宋体"/>
          <w:szCs w:val="22"/>
        </w:rPr>
      </w:pPr>
      <w:r>
        <w:rPr>
          <w:rFonts w:hint="eastAsia" w:ascii="宋体" w:hAnsi="宋体"/>
          <w:szCs w:val="22"/>
        </w:rPr>
        <w:t>⑶投标人不符合</w:t>
      </w:r>
      <w:r>
        <w:rPr>
          <w:rFonts w:hint="eastAsia" w:ascii="宋体" w:hAnsi="宋体"/>
          <w:szCs w:val="22"/>
          <w:lang w:eastAsia="zh-CN"/>
        </w:rPr>
        <w:t>询价</w:t>
      </w:r>
      <w:r>
        <w:rPr>
          <w:rFonts w:hint="eastAsia" w:ascii="宋体" w:hAnsi="宋体"/>
          <w:szCs w:val="22"/>
        </w:rPr>
        <w:t>文件规定的资格条件的；</w:t>
      </w:r>
    </w:p>
    <w:p>
      <w:pPr>
        <w:spacing w:line="400" w:lineRule="exact"/>
        <w:ind w:firstLine="420" w:firstLineChars="200"/>
        <w:rPr>
          <w:rFonts w:ascii="宋体" w:hAnsi="宋体"/>
          <w:szCs w:val="22"/>
        </w:rPr>
      </w:pPr>
      <w:r>
        <w:rPr>
          <w:rFonts w:hint="eastAsia" w:ascii="宋体" w:hAnsi="宋体"/>
          <w:szCs w:val="22"/>
        </w:rPr>
        <w:t>⑷同一投标人提交两个以上不同的投标文件或者投标报价的，但</w:t>
      </w:r>
      <w:r>
        <w:rPr>
          <w:rFonts w:hint="eastAsia" w:ascii="宋体" w:hAnsi="宋体"/>
          <w:szCs w:val="22"/>
          <w:lang w:eastAsia="zh-CN"/>
        </w:rPr>
        <w:t>询价</w:t>
      </w:r>
      <w:r>
        <w:rPr>
          <w:rFonts w:hint="eastAsia" w:ascii="宋体" w:hAnsi="宋体"/>
          <w:szCs w:val="22"/>
        </w:rPr>
        <w:t>文件要求提交备选投标或投标函与清单汇总不一致的除外；</w:t>
      </w:r>
    </w:p>
    <w:p>
      <w:pPr>
        <w:spacing w:line="400" w:lineRule="exact"/>
        <w:ind w:firstLine="420" w:firstLineChars="200"/>
        <w:rPr>
          <w:rFonts w:ascii="宋体" w:hAnsi="宋体"/>
          <w:szCs w:val="22"/>
        </w:rPr>
      </w:pPr>
      <w:r>
        <w:rPr>
          <w:rFonts w:hint="eastAsia" w:ascii="宋体" w:hAnsi="宋体"/>
          <w:szCs w:val="22"/>
        </w:rPr>
        <w:t>⑸投标文件没有对</w:t>
      </w:r>
      <w:r>
        <w:rPr>
          <w:rFonts w:hint="eastAsia" w:ascii="宋体" w:hAnsi="宋体"/>
          <w:szCs w:val="22"/>
          <w:lang w:eastAsia="zh-CN"/>
        </w:rPr>
        <w:t>询价</w:t>
      </w:r>
      <w:r>
        <w:rPr>
          <w:rFonts w:hint="eastAsia" w:ascii="宋体" w:hAnsi="宋体"/>
          <w:szCs w:val="22"/>
        </w:rPr>
        <w:t>文件的实质性要求和条件作出响应的；</w:t>
      </w:r>
    </w:p>
    <w:p>
      <w:pPr>
        <w:spacing w:line="400" w:lineRule="exact"/>
        <w:ind w:firstLine="420" w:firstLineChars="200"/>
        <w:rPr>
          <w:rFonts w:ascii="宋体" w:hAnsi="宋体"/>
          <w:szCs w:val="22"/>
        </w:rPr>
      </w:pPr>
      <w:r>
        <w:rPr>
          <w:rFonts w:hint="eastAsia" w:ascii="宋体" w:hAnsi="宋体"/>
          <w:szCs w:val="22"/>
        </w:rPr>
        <w:t>⑹投标人有串通投标、弄虚作假、行贿等违法行为的；</w:t>
      </w:r>
    </w:p>
    <w:p>
      <w:pPr>
        <w:spacing w:line="400" w:lineRule="exact"/>
        <w:ind w:firstLine="420" w:firstLineChars="200"/>
        <w:rPr>
          <w:rFonts w:ascii="宋体" w:hAnsi="宋体"/>
          <w:szCs w:val="22"/>
        </w:rPr>
      </w:pPr>
      <w:r>
        <w:rPr>
          <w:rFonts w:hint="eastAsia" w:ascii="宋体" w:hAnsi="宋体"/>
          <w:szCs w:val="22"/>
        </w:rPr>
        <w:t>⑺投标文件未通过投标有效性（或符合性、详细）评审的。</w:t>
      </w:r>
      <w:bookmarkEnd w:id="250"/>
    </w:p>
    <w:p>
      <w:pPr>
        <w:spacing w:line="400" w:lineRule="exact"/>
        <w:ind w:left="210" w:leftChars="100" w:firstLine="210" w:firstLineChars="100"/>
      </w:pPr>
      <w:r>
        <w:rPr>
          <w:rFonts w:hint="eastAsia"/>
          <w:lang w:val="en-US" w:eastAsia="zh-CN"/>
        </w:rPr>
        <w:t>5</w:t>
      </w:r>
      <w:r>
        <w:rPr>
          <w:rFonts w:hint="eastAsia"/>
        </w:rPr>
        <w:t xml:space="preserve">.3.4 </w:t>
      </w:r>
      <w:r>
        <w:rPr>
          <w:rFonts w:hint="eastAsia"/>
          <w:lang w:eastAsia="zh-CN"/>
        </w:rPr>
        <w:t>询价</w:t>
      </w:r>
      <w:r>
        <w:rPr>
          <w:rFonts w:hint="eastAsia"/>
        </w:rPr>
        <w:t>项目仅有一个标段（或标包），经评审后不同投标人排名并列的，可按照“第三章 评标办法”规定处理；没有具体规定的，按照抽签方式决定中标次序。若</w:t>
      </w:r>
      <w:r>
        <w:rPr>
          <w:rFonts w:hint="eastAsia"/>
          <w:lang w:eastAsia="zh-CN"/>
        </w:rPr>
        <w:t>询价</w:t>
      </w:r>
      <w:r>
        <w:rPr>
          <w:rFonts w:hint="eastAsia"/>
        </w:rPr>
        <w:t>项目有两个及以上标段（或标包）的，经评审后同一投标人在不同标段排名并列的，可按照“第三章 评标办法”规定处理；没有具体规定的，可优先按照组合总价最低、标段控制价高低顺序决定中标次序。</w:t>
      </w:r>
      <w:bookmarkEnd w:id="249"/>
    </w:p>
    <w:p>
      <w:pPr>
        <w:spacing w:line="400" w:lineRule="exact"/>
        <w:ind w:firstLine="420" w:firstLineChars="200"/>
        <w:rPr>
          <w:rFonts w:ascii="宋体" w:hAnsi="宋体"/>
          <w:szCs w:val="22"/>
        </w:rPr>
      </w:pPr>
      <w:r>
        <w:rPr>
          <w:rFonts w:hint="eastAsia" w:ascii="宋体" w:hAnsi="宋体"/>
          <w:szCs w:val="22"/>
          <w:lang w:val="en-US" w:eastAsia="zh-CN"/>
        </w:rPr>
        <w:t>5</w:t>
      </w:r>
      <w:r>
        <w:rPr>
          <w:rFonts w:hint="eastAsia" w:ascii="宋体" w:hAnsi="宋体"/>
          <w:szCs w:val="22"/>
        </w:rPr>
        <w:t>.3.</w:t>
      </w:r>
      <w:bookmarkStart w:id="252" w:name="_Hlk497292147"/>
      <w:r>
        <w:rPr>
          <w:rFonts w:hint="eastAsia" w:ascii="宋体" w:hAnsi="宋体"/>
          <w:szCs w:val="22"/>
        </w:rPr>
        <w:t>5有下列情形之一的，属于投标人相互串通投标：</w:t>
      </w:r>
    </w:p>
    <w:p>
      <w:pPr>
        <w:spacing w:line="400" w:lineRule="exact"/>
        <w:ind w:firstLine="420" w:firstLineChars="200"/>
        <w:rPr>
          <w:rFonts w:ascii="宋体" w:hAnsi="宋体"/>
          <w:szCs w:val="22"/>
        </w:rPr>
      </w:pPr>
      <w:r>
        <w:rPr>
          <w:rFonts w:hint="eastAsia" w:ascii="宋体" w:hAnsi="宋体"/>
          <w:szCs w:val="22"/>
        </w:rPr>
        <w:t>⑴ 投标人之间协商投标报价等投标文件的实质性内容；</w:t>
      </w:r>
    </w:p>
    <w:p>
      <w:pPr>
        <w:spacing w:line="400" w:lineRule="exact"/>
        <w:ind w:firstLine="420" w:firstLineChars="200"/>
        <w:rPr>
          <w:rFonts w:ascii="宋体" w:hAnsi="宋体"/>
          <w:szCs w:val="22"/>
        </w:rPr>
      </w:pPr>
      <w:r>
        <w:rPr>
          <w:rFonts w:hint="eastAsia" w:ascii="宋体" w:hAnsi="宋体"/>
          <w:szCs w:val="22"/>
        </w:rPr>
        <w:t>⑵ 投标人之间约定中标人；</w:t>
      </w:r>
    </w:p>
    <w:p>
      <w:pPr>
        <w:spacing w:line="400" w:lineRule="exact"/>
        <w:ind w:firstLine="420" w:firstLineChars="200"/>
        <w:rPr>
          <w:rFonts w:ascii="宋体" w:hAnsi="宋体"/>
          <w:szCs w:val="22"/>
        </w:rPr>
      </w:pPr>
      <w:r>
        <w:rPr>
          <w:rFonts w:hint="eastAsia" w:ascii="宋体" w:hAnsi="宋体"/>
          <w:szCs w:val="22"/>
        </w:rPr>
        <w:t>⑶ 投标人之间约定部分投标人放弃投标或者中标；</w:t>
      </w:r>
    </w:p>
    <w:p>
      <w:pPr>
        <w:spacing w:line="400" w:lineRule="exact"/>
        <w:ind w:firstLine="420" w:firstLineChars="200"/>
        <w:rPr>
          <w:rFonts w:ascii="宋体" w:hAnsi="宋体"/>
          <w:szCs w:val="22"/>
        </w:rPr>
      </w:pPr>
      <w:r>
        <w:rPr>
          <w:rFonts w:hint="eastAsia" w:ascii="宋体" w:hAnsi="宋体"/>
          <w:szCs w:val="22"/>
        </w:rPr>
        <w:t>⑷ 属于同一集团、协会、商会等组织成员的投标人按照该组织要求协同投标；</w:t>
      </w:r>
    </w:p>
    <w:p>
      <w:pPr>
        <w:spacing w:line="400" w:lineRule="exact"/>
        <w:ind w:firstLine="420" w:firstLineChars="200"/>
        <w:rPr>
          <w:rFonts w:ascii="宋体" w:hAnsi="宋体"/>
          <w:szCs w:val="22"/>
        </w:rPr>
      </w:pPr>
      <w:r>
        <w:rPr>
          <w:rFonts w:hint="eastAsia" w:ascii="宋体" w:hAnsi="宋体"/>
          <w:szCs w:val="22"/>
        </w:rPr>
        <w:t>⑸ 投标人之间为谋取中标或者排斥特定投标人而采取的其他联合行动。</w:t>
      </w:r>
    </w:p>
    <w:bookmarkEnd w:id="252"/>
    <w:p>
      <w:pPr>
        <w:spacing w:line="400" w:lineRule="exact"/>
        <w:ind w:firstLine="420" w:firstLineChars="200"/>
        <w:rPr>
          <w:rFonts w:ascii="宋体" w:hAnsi="宋体"/>
          <w:szCs w:val="22"/>
        </w:rPr>
      </w:pPr>
      <w:r>
        <w:rPr>
          <w:rFonts w:hint="eastAsia" w:ascii="宋体" w:hAnsi="宋体"/>
          <w:szCs w:val="22"/>
        </w:rPr>
        <w:t xml:space="preserve">6.3.6 </w:t>
      </w:r>
      <w:bookmarkStart w:id="253" w:name="_Hlk497292175"/>
      <w:r>
        <w:rPr>
          <w:rFonts w:hint="eastAsia" w:ascii="宋体" w:hAnsi="宋体"/>
          <w:szCs w:val="22"/>
        </w:rPr>
        <w:t>有下列情形之一的，视为投标人相互串通投标：</w:t>
      </w:r>
    </w:p>
    <w:p>
      <w:pPr>
        <w:spacing w:line="400" w:lineRule="exact"/>
        <w:ind w:firstLine="420" w:firstLineChars="200"/>
        <w:rPr>
          <w:rFonts w:ascii="宋体" w:hAnsi="宋体"/>
          <w:szCs w:val="22"/>
        </w:rPr>
      </w:pPr>
      <w:r>
        <w:rPr>
          <w:rFonts w:hint="eastAsia" w:ascii="宋体" w:hAnsi="宋体"/>
          <w:szCs w:val="22"/>
        </w:rPr>
        <w:t>⑴ 不同投标人的投标文件由同一单位或者个人编制；</w:t>
      </w:r>
    </w:p>
    <w:p>
      <w:pPr>
        <w:spacing w:line="400" w:lineRule="exact"/>
        <w:ind w:firstLine="420" w:firstLineChars="200"/>
        <w:rPr>
          <w:rFonts w:ascii="宋体" w:hAnsi="宋体"/>
          <w:szCs w:val="22"/>
        </w:rPr>
      </w:pPr>
      <w:r>
        <w:rPr>
          <w:rFonts w:hint="eastAsia" w:ascii="宋体" w:hAnsi="宋体"/>
          <w:szCs w:val="22"/>
        </w:rPr>
        <w:t>⑵ 不同投标人委托同一单位或者个人办理投标事宜；</w:t>
      </w:r>
    </w:p>
    <w:p>
      <w:pPr>
        <w:spacing w:line="400" w:lineRule="exact"/>
        <w:ind w:firstLine="420" w:firstLineChars="200"/>
        <w:rPr>
          <w:rFonts w:ascii="宋体" w:hAnsi="宋体"/>
          <w:szCs w:val="22"/>
        </w:rPr>
      </w:pPr>
      <w:r>
        <w:rPr>
          <w:rFonts w:hint="eastAsia" w:ascii="宋体" w:hAnsi="宋体"/>
          <w:szCs w:val="22"/>
        </w:rPr>
        <w:t>⑶ 不同投标人的投标文件载明的项目管理成员或者联系人员为同一人；</w:t>
      </w:r>
    </w:p>
    <w:p>
      <w:pPr>
        <w:spacing w:line="400" w:lineRule="exact"/>
        <w:ind w:firstLine="420" w:firstLineChars="200"/>
        <w:rPr>
          <w:rFonts w:ascii="宋体" w:hAnsi="宋体"/>
          <w:szCs w:val="22"/>
        </w:rPr>
      </w:pPr>
      <w:r>
        <w:rPr>
          <w:rFonts w:hint="eastAsia" w:ascii="宋体" w:hAnsi="宋体"/>
          <w:szCs w:val="22"/>
        </w:rPr>
        <w:t>⑷ 不同投标人的投标文件异常一致或者投标报价呈规律性差异；</w:t>
      </w:r>
    </w:p>
    <w:p>
      <w:pPr>
        <w:spacing w:line="400" w:lineRule="exact"/>
        <w:ind w:firstLine="420" w:firstLineChars="200"/>
        <w:rPr>
          <w:rFonts w:ascii="宋体" w:hAnsi="宋体"/>
          <w:szCs w:val="22"/>
        </w:rPr>
      </w:pPr>
      <w:r>
        <w:rPr>
          <w:rFonts w:hint="eastAsia" w:ascii="宋体" w:hAnsi="宋体"/>
          <w:szCs w:val="22"/>
        </w:rPr>
        <w:t>⑸ 不同投标人的投标文件相互混装；</w:t>
      </w:r>
    </w:p>
    <w:p>
      <w:pPr>
        <w:spacing w:line="400" w:lineRule="exact"/>
        <w:ind w:firstLine="420" w:firstLineChars="200"/>
        <w:rPr>
          <w:rFonts w:ascii="宋体" w:hAnsi="宋体"/>
          <w:szCs w:val="22"/>
        </w:rPr>
      </w:pPr>
      <w:r>
        <w:rPr>
          <w:rFonts w:hint="eastAsia" w:ascii="宋体" w:hAnsi="宋体"/>
          <w:szCs w:val="22"/>
        </w:rPr>
        <w:t>⑹ 不同投标人的投标保证金从同一单位或者个人的账户转出；</w:t>
      </w:r>
    </w:p>
    <w:p>
      <w:pPr>
        <w:spacing w:line="400" w:lineRule="exact"/>
        <w:ind w:firstLine="420" w:firstLineChars="200"/>
        <w:rPr>
          <w:rFonts w:ascii="宋体" w:hAnsi="宋体"/>
          <w:szCs w:val="22"/>
        </w:rPr>
      </w:pPr>
      <w:r>
        <w:rPr>
          <w:rFonts w:hint="eastAsia" w:ascii="宋体" w:hAnsi="宋体"/>
          <w:szCs w:val="22"/>
        </w:rPr>
        <w:t>⑺</w:t>
      </w:r>
      <w:bookmarkEnd w:id="253"/>
      <w:r>
        <w:rPr>
          <w:rFonts w:hint="eastAsia" w:ascii="宋体" w:hAnsi="宋体"/>
          <w:szCs w:val="22"/>
        </w:rPr>
        <w:t>不同投标人之间存在同一持股股东的。</w:t>
      </w:r>
    </w:p>
    <w:bookmarkEnd w:id="248"/>
    <w:p>
      <w:pPr>
        <w:pStyle w:val="4"/>
        <w:spacing w:line="240" w:lineRule="auto"/>
      </w:pPr>
      <w:bookmarkStart w:id="254" w:name="_Toc152045566"/>
      <w:bookmarkStart w:id="255" w:name="_Toc179632584"/>
      <w:bookmarkStart w:id="256" w:name="_Toc247085724"/>
      <w:bookmarkStart w:id="257" w:name="_Toc144974534"/>
      <w:bookmarkStart w:id="258" w:name="_Toc152042342"/>
      <w:bookmarkStart w:id="259" w:name="_Toc500318583"/>
      <w:bookmarkStart w:id="260" w:name="_Toc246996210"/>
      <w:bookmarkStart w:id="261" w:name="_Toc246996953"/>
      <w:r>
        <w:rPr>
          <w:rFonts w:hint="eastAsia"/>
          <w:lang w:val="en-US" w:eastAsia="zh-CN"/>
        </w:rPr>
        <w:t>6</w:t>
      </w:r>
      <w:r>
        <w:rPr>
          <w:rFonts w:hint="eastAsia"/>
        </w:rPr>
        <w:t>. 合同授予</w:t>
      </w:r>
      <w:bookmarkEnd w:id="254"/>
      <w:bookmarkEnd w:id="255"/>
      <w:bookmarkEnd w:id="256"/>
      <w:bookmarkEnd w:id="257"/>
      <w:bookmarkEnd w:id="258"/>
      <w:bookmarkEnd w:id="259"/>
      <w:bookmarkEnd w:id="260"/>
      <w:bookmarkEnd w:id="261"/>
    </w:p>
    <w:p>
      <w:pPr>
        <w:pStyle w:val="4"/>
        <w:spacing w:line="240" w:lineRule="auto"/>
      </w:pPr>
      <w:bookmarkStart w:id="262" w:name="_Toc500318584"/>
      <w:bookmarkStart w:id="263" w:name="_Toc144974535"/>
      <w:bookmarkStart w:id="264" w:name="_Toc246996954"/>
      <w:bookmarkStart w:id="265" w:name="_Toc152042343"/>
      <w:bookmarkStart w:id="266" w:name="_Toc439064223"/>
      <w:bookmarkStart w:id="267" w:name="_Toc179632585"/>
      <w:bookmarkStart w:id="268" w:name="_Toc247085725"/>
      <w:bookmarkStart w:id="269" w:name="_Toc246996211"/>
      <w:bookmarkStart w:id="270" w:name="_Toc152045567"/>
      <w:r>
        <w:rPr>
          <w:rFonts w:hint="eastAsia"/>
          <w:lang w:val="en-US" w:eastAsia="zh-CN"/>
        </w:rPr>
        <w:t>6</w:t>
      </w:r>
      <w:r>
        <w:rPr>
          <w:rFonts w:hint="eastAsia"/>
        </w:rPr>
        <w:t>.1 定标方式</w:t>
      </w:r>
      <w:bookmarkEnd w:id="262"/>
      <w:bookmarkEnd w:id="263"/>
      <w:bookmarkEnd w:id="264"/>
      <w:bookmarkEnd w:id="265"/>
      <w:bookmarkEnd w:id="266"/>
      <w:bookmarkEnd w:id="267"/>
      <w:bookmarkEnd w:id="268"/>
      <w:bookmarkEnd w:id="269"/>
      <w:bookmarkEnd w:id="270"/>
    </w:p>
    <w:p>
      <w:pPr>
        <w:spacing w:line="400" w:lineRule="exact"/>
        <w:ind w:firstLine="420" w:firstLineChars="200"/>
      </w:pPr>
      <w:bookmarkStart w:id="271" w:name="_Hlk496023602"/>
      <w:r>
        <w:rPr>
          <w:rFonts w:hint="eastAsia"/>
          <w:lang w:val="en-US" w:eastAsia="zh-CN"/>
        </w:rPr>
        <w:t>6</w:t>
      </w:r>
      <w:r>
        <w:rPr>
          <w:rFonts w:hint="eastAsia"/>
        </w:rPr>
        <w:t xml:space="preserve">.1.1 </w:t>
      </w:r>
      <w:r>
        <w:rPr>
          <w:rFonts w:hint="eastAsia"/>
          <w:lang w:eastAsia="zh-CN"/>
        </w:rPr>
        <w:t>询价</w:t>
      </w:r>
      <w:r>
        <w:rPr>
          <w:rFonts w:hint="eastAsia"/>
        </w:rPr>
        <w:t>结果进行公示，公示时间不少于3日，</w:t>
      </w:r>
      <w:r>
        <w:rPr>
          <w:rFonts w:hint="eastAsia"/>
          <w:lang w:eastAsia="zh-CN"/>
        </w:rPr>
        <w:t>询价</w:t>
      </w:r>
      <w:r>
        <w:rPr>
          <w:rFonts w:hint="eastAsia"/>
        </w:rPr>
        <w:t>人依据评标委员会推荐的中标候选人顺序确定中标人。</w:t>
      </w:r>
    </w:p>
    <w:p>
      <w:pPr>
        <w:spacing w:line="400" w:lineRule="exact"/>
        <w:ind w:firstLine="420" w:firstLineChars="200"/>
      </w:pPr>
      <w:bookmarkStart w:id="272" w:name="_Toc246996957"/>
      <w:bookmarkStart w:id="273" w:name="_Toc247085728"/>
      <w:bookmarkStart w:id="274" w:name="_Toc439064227"/>
      <w:bookmarkStart w:id="275" w:name="_Toc152042346"/>
      <w:bookmarkStart w:id="276" w:name="_Toc144974538"/>
      <w:bookmarkStart w:id="277" w:name="_Toc246996214"/>
      <w:bookmarkStart w:id="278" w:name="_Toc179632588"/>
      <w:bookmarkStart w:id="279" w:name="_Toc152045570"/>
      <w:r>
        <w:rPr>
          <w:rFonts w:hint="eastAsia"/>
          <w:lang w:val="en-US" w:eastAsia="zh-CN"/>
        </w:rPr>
        <w:t>6</w:t>
      </w:r>
      <w:r>
        <w:rPr>
          <w:rFonts w:hint="eastAsia"/>
        </w:rPr>
        <w:t>.1.2 定标工作按以下程序进行：</w:t>
      </w:r>
    </w:p>
    <w:p>
      <w:pPr>
        <w:spacing w:line="400" w:lineRule="exact"/>
        <w:ind w:firstLine="420" w:firstLineChars="200"/>
      </w:pPr>
      <w:r>
        <w:rPr>
          <w:rFonts w:hint="eastAsia"/>
        </w:rPr>
        <w:t>（1）经公示无异议，未发现中标候选人在投标活动中有弄虚作假等不良行为，确定推荐的第一中标候选人为中标人；</w:t>
      </w:r>
    </w:p>
    <w:p>
      <w:pPr>
        <w:spacing w:line="400" w:lineRule="exact"/>
        <w:ind w:firstLine="420" w:firstLineChars="200"/>
      </w:pPr>
      <w:r>
        <w:rPr>
          <w:rFonts w:hint="eastAsia"/>
        </w:rPr>
        <w:t>（2）如第一中标候选人放弃中标，或者被查实存在影响中标结果的违法行为，</w:t>
      </w:r>
      <w:r>
        <w:rPr>
          <w:rFonts w:hint="eastAsia"/>
          <w:lang w:eastAsia="zh-CN"/>
        </w:rPr>
        <w:t>询价</w:t>
      </w:r>
      <w:r>
        <w:rPr>
          <w:rFonts w:hint="eastAsia"/>
        </w:rPr>
        <w:t>人可有条件确定第二中标候选人为中标人，也可重新组织</w:t>
      </w:r>
      <w:r>
        <w:rPr>
          <w:rFonts w:hint="eastAsia"/>
          <w:lang w:eastAsia="zh-CN"/>
        </w:rPr>
        <w:t>询价</w:t>
      </w:r>
      <w:r>
        <w:rPr>
          <w:rFonts w:hint="eastAsia"/>
        </w:rPr>
        <w:t>；</w:t>
      </w:r>
    </w:p>
    <w:p>
      <w:pPr>
        <w:spacing w:line="400" w:lineRule="exact"/>
        <w:ind w:firstLine="420" w:firstLineChars="200"/>
      </w:pPr>
      <w:r>
        <w:rPr>
          <w:rFonts w:hint="eastAsia"/>
        </w:rPr>
        <w:t>（3）若推荐的第一、第二中标候选人之间投标报价差距不超过10%或</w:t>
      </w:r>
      <w:r>
        <w:rPr>
          <w:rFonts w:hint="eastAsia"/>
          <w:lang w:val="en-US" w:eastAsia="zh-CN"/>
        </w:rPr>
        <w:t>30</w:t>
      </w:r>
      <w:r>
        <w:rPr>
          <w:rFonts w:hint="eastAsia"/>
        </w:rPr>
        <w:t>万元（以先达到其中之一为准），第一中标候选人放弃或被取消中标资格的，</w:t>
      </w:r>
      <w:r>
        <w:rPr>
          <w:rFonts w:hint="eastAsia"/>
          <w:lang w:eastAsia="zh-CN"/>
        </w:rPr>
        <w:t>询价</w:t>
      </w:r>
      <w:r>
        <w:rPr>
          <w:rFonts w:hint="eastAsia"/>
        </w:rPr>
        <w:t>人可确定第二中标候选人为中标候选人。</w:t>
      </w:r>
    </w:p>
    <w:p>
      <w:pPr>
        <w:spacing w:line="400" w:lineRule="exact"/>
        <w:ind w:firstLine="420" w:firstLineChars="200"/>
        <w:rPr>
          <w:rFonts w:ascii="宋体" w:hAnsi="宋体"/>
          <w:szCs w:val="22"/>
        </w:rPr>
      </w:pPr>
      <w:r>
        <w:rPr>
          <w:rFonts w:hint="eastAsia"/>
        </w:rPr>
        <w:t>7.1.3 投标人或</w:t>
      </w:r>
      <w:r>
        <w:rPr>
          <w:rFonts w:hint="eastAsia"/>
          <w:lang w:eastAsia="zh-CN"/>
        </w:rPr>
        <w:t>询价</w:t>
      </w:r>
      <w:r>
        <w:rPr>
          <w:rFonts w:hint="eastAsia"/>
        </w:rPr>
        <w:t>人对评审过程有异议或质疑的，应由原评委会委员进行复核并出具明确的书面意见</w:t>
      </w:r>
      <w:r>
        <w:rPr>
          <w:rFonts w:hint="eastAsia" w:ascii="宋体" w:hAnsi="宋体"/>
          <w:szCs w:val="22"/>
        </w:rPr>
        <w:t>。</w:t>
      </w:r>
    </w:p>
    <w:p>
      <w:pPr>
        <w:spacing w:line="400" w:lineRule="exact"/>
        <w:ind w:firstLine="420" w:firstLineChars="200"/>
        <w:rPr>
          <w:rFonts w:ascii="宋体" w:hAnsi="宋体"/>
          <w:szCs w:val="22"/>
        </w:rPr>
      </w:pPr>
      <w:r>
        <w:rPr>
          <w:rFonts w:hint="eastAsia"/>
        </w:rPr>
        <w:t>7.1.4有下列情形之一的，</w:t>
      </w:r>
      <w:r>
        <w:rPr>
          <w:rFonts w:hint="eastAsia"/>
          <w:lang w:eastAsia="zh-CN"/>
        </w:rPr>
        <w:t>询价</w:t>
      </w:r>
      <w:r>
        <w:rPr>
          <w:rFonts w:hint="eastAsia"/>
        </w:rPr>
        <w:t>人可不按评标委员会推荐的名单或顺序确定中标候选人（需提供书面说明材料）：投标人主动书面提出放弃；不按时缴纳履约保证金或签订合同；被查证存在弄虚作假或串通投标等违法行为；</w:t>
      </w:r>
      <w:r>
        <w:rPr>
          <w:rFonts w:hint="eastAsia"/>
          <w:lang w:eastAsia="zh-CN"/>
        </w:rPr>
        <w:t>询价</w:t>
      </w:r>
      <w:r>
        <w:rPr>
          <w:rFonts w:hint="eastAsia"/>
        </w:rPr>
        <w:t>人组织考察认定不能按</w:t>
      </w:r>
      <w:r>
        <w:rPr>
          <w:rFonts w:hint="eastAsia"/>
          <w:lang w:eastAsia="zh-CN"/>
        </w:rPr>
        <w:t>询价</w:t>
      </w:r>
      <w:r>
        <w:rPr>
          <w:rFonts w:hint="eastAsia"/>
        </w:rPr>
        <w:t>文件要求履约的（限</w:t>
      </w:r>
      <w:r>
        <w:rPr>
          <w:rFonts w:hint="eastAsia"/>
          <w:lang w:eastAsia="zh-CN"/>
        </w:rPr>
        <w:t>询价</w:t>
      </w:r>
      <w:r>
        <w:rPr>
          <w:rFonts w:hint="eastAsia"/>
        </w:rPr>
        <w:t>文件有规定）。</w:t>
      </w:r>
    </w:p>
    <w:bookmarkEnd w:id="271"/>
    <w:p>
      <w:pPr>
        <w:pStyle w:val="4"/>
        <w:spacing w:line="240" w:lineRule="auto"/>
      </w:pPr>
      <w:bookmarkStart w:id="280" w:name="_Toc500318585"/>
      <w:r>
        <w:rPr>
          <w:rFonts w:hint="eastAsia"/>
          <w:lang w:val="en-US" w:eastAsia="zh-CN"/>
        </w:rPr>
        <w:t>6</w:t>
      </w:r>
      <w:r>
        <w:rPr>
          <w:rFonts w:hint="eastAsia"/>
        </w:rPr>
        <w:t>.</w:t>
      </w:r>
      <w:r>
        <w:t>2</w:t>
      </w:r>
      <w:r>
        <w:rPr>
          <w:rFonts w:hint="eastAsia"/>
        </w:rPr>
        <w:t xml:space="preserve"> 签订合同</w:t>
      </w:r>
      <w:bookmarkEnd w:id="272"/>
      <w:bookmarkEnd w:id="273"/>
      <w:bookmarkEnd w:id="274"/>
      <w:bookmarkEnd w:id="275"/>
      <w:bookmarkEnd w:id="276"/>
      <w:bookmarkEnd w:id="277"/>
      <w:bookmarkEnd w:id="278"/>
      <w:bookmarkEnd w:id="279"/>
      <w:bookmarkEnd w:id="280"/>
    </w:p>
    <w:p>
      <w:pPr>
        <w:spacing w:line="400" w:lineRule="exact"/>
        <w:ind w:firstLine="420" w:firstLineChars="200"/>
      </w:pPr>
      <w:bookmarkStart w:id="281" w:name="_Hlk500316488"/>
      <w:r>
        <w:rPr>
          <w:rFonts w:hint="eastAsia"/>
          <w:lang w:val="en-US" w:eastAsia="zh-CN"/>
        </w:rPr>
        <w:t>6</w:t>
      </w:r>
      <w:r>
        <w:rPr>
          <w:rFonts w:hint="eastAsia"/>
        </w:rPr>
        <w:t>.2.1 中标人应当按</w:t>
      </w:r>
      <w:r>
        <w:rPr>
          <w:rFonts w:hint="eastAsia"/>
          <w:lang w:eastAsia="zh-CN"/>
        </w:rPr>
        <w:t>询价</w:t>
      </w:r>
      <w:r>
        <w:rPr>
          <w:rFonts w:hint="eastAsia"/>
        </w:rPr>
        <w:t>文件要求提交履约保证金后，与</w:t>
      </w:r>
      <w:r>
        <w:rPr>
          <w:rFonts w:hint="eastAsia"/>
          <w:lang w:eastAsia="zh-CN"/>
        </w:rPr>
        <w:t>询价</w:t>
      </w:r>
      <w:r>
        <w:rPr>
          <w:rFonts w:hint="eastAsia"/>
        </w:rPr>
        <w:t>人签订合同。</w:t>
      </w:r>
    </w:p>
    <w:p>
      <w:pPr>
        <w:spacing w:line="400" w:lineRule="exact"/>
        <w:ind w:firstLine="420" w:firstLineChars="200"/>
      </w:pPr>
      <w:r>
        <w:rPr>
          <w:rFonts w:hint="eastAsia"/>
          <w:lang w:val="en-US" w:eastAsia="zh-CN"/>
        </w:rPr>
        <w:t>6</w:t>
      </w:r>
      <w:r>
        <w:rPr>
          <w:rFonts w:hint="eastAsia"/>
        </w:rPr>
        <w:t>.2.2确定中标人后，由</w:t>
      </w:r>
      <w:r>
        <w:rPr>
          <w:rFonts w:hint="eastAsia"/>
          <w:lang w:eastAsia="zh-CN"/>
        </w:rPr>
        <w:t>询价</w:t>
      </w:r>
      <w:r>
        <w:rPr>
          <w:rFonts w:hint="eastAsia"/>
        </w:rPr>
        <w:t>人和</w:t>
      </w:r>
      <w:r>
        <w:rPr>
          <w:rFonts w:hint="eastAsia"/>
          <w:lang w:eastAsia="zh-CN"/>
        </w:rPr>
        <w:t>询价</w:t>
      </w:r>
      <w:r>
        <w:rPr>
          <w:rFonts w:hint="eastAsia"/>
        </w:rPr>
        <w:t>部门向中标人发出中标通知书。</w:t>
      </w:r>
      <w:r>
        <w:rPr>
          <w:rFonts w:hint="eastAsia"/>
          <w:lang w:eastAsia="zh-CN"/>
        </w:rPr>
        <w:t>询价</w:t>
      </w:r>
      <w:r>
        <w:rPr>
          <w:rFonts w:hint="eastAsia"/>
        </w:rPr>
        <w:t>人和中标人在投标有效期内以及中标通知书发出之日起的规定时间内（以先到为准）签订合同。</w:t>
      </w:r>
    </w:p>
    <w:p>
      <w:pPr>
        <w:spacing w:line="400" w:lineRule="exact"/>
        <w:ind w:firstLine="420" w:firstLineChars="200"/>
      </w:pPr>
      <w:r>
        <w:rPr>
          <w:rFonts w:hint="eastAsia"/>
          <w:lang w:val="en-US" w:eastAsia="zh-CN"/>
        </w:rPr>
        <w:t>6</w:t>
      </w:r>
      <w:r>
        <w:rPr>
          <w:rFonts w:hint="eastAsia"/>
        </w:rPr>
        <w:t>.2.3合同协议书经双方法定代表人或其授权的代理人签署并加盖单位章后生效。</w:t>
      </w:r>
      <w:bookmarkEnd w:id="281"/>
      <w:r>
        <w:rPr>
          <w:rFonts w:hint="eastAsia"/>
        </w:rPr>
        <w:t xml:space="preserve">    </w:t>
      </w:r>
    </w:p>
    <w:p>
      <w:pPr>
        <w:pStyle w:val="4"/>
        <w:spacing w:line="240" w:lineRule="auto"/>
      </w:pPr>
      <w:bookmarkStart w:id="282" w:name="_Toc421916945"/>
      <w:bookmarkStart w:id="283" w:name="_Toc184635078"/>
      <w:bookmarkStart w:id="284" w:name="_Toc248986346"/>
      <w:bookmarkStart w:id="285" w:name="_Toc390411576"/>
      <w:bookmarkStart w:id="286" w:name="_Toc514784981"/>
      <w:bookmarkStart w:id="287" w:name="_Hlk496023752"/>
      <w:bookmarkStart w:id="288" w:name="_Toc500318590"/>
      <w:r>
        <w:rPr>
          <w:rFonts w:hint="eastAsia"/>
          <w:lang w:val="en-US" w:eastAsia="zh-CN"/>
        </w:rPr>
        <w:t>7</w:t>
      </w:r>
      <w:r>
        <w:rPr>
          <w:rFonts w:hint="eastAsia"/>
        </w:rPr>
        <w:t>．重新</w:t>
      </w:r>
      <w:bookmarkEnd w:id="282"/>
      <w:bookmarkEnd w:id="283"/>
      <w:bookmarkEnd w:id="284"/>
      <w:bookmarkEnd w:id="285"/>
      <w:r>
        <w:rPr>
          <w:rFonts w:hint="eastAsia"/>
          <w:lang w:eastAsia="zh-CN"/>
        </w:rPr>
        <w:t>询价</w:t>
      </w:r>
      <w:r>
        <w:rPr>
          <w:rFonts w:hint="eastAsia"/>
        </w:rPr>
        <w:t>或现场转议标</w:t>
      </w:r>
      <w:bookmarkEnd w:id="286"/>
    </w:p>
    <w:p>
      <w:pPr>
        <w:pStyle w:val="4"/>
        <w:spacing w:line="240" w:lineRule="auto"/>
        <w:rPr>
          <w:rFonts w:hint="eastAsia" w:eastAsia="宋体"/>
          <w:lang w:eastAsia="zh-CN"/>
        </w:rPr>
      </w:pPr>
      <w:bookmarkStart w:id="289" w:name="_Toc439064229"/>
      <w:bookmarkStart w:id="290" w:name="_Toc514784982"/>
      <w:r>
        <w:rPr>
          <w:rFonts w:hint="eastAsia"/>
          <w:lang w:val="en-US" w:eastAsia="zh-CN"/>
        </w:rPr>
        <w:t>7</w:t>
      </w:r>
      <w:r>
        <w:t xml:space="preserve">.1 </w:t>
      </w:r>
      <w:r>
        <w:rPr>
          <w:rFonts w:hint="eastAsia"/>
        </w:rPr>
        <w:t>重新</w:t>
      </w:r>
      <w:bookmarkEnd w:id="289"/>
      <w:bookmarkEnd w:id="290"/>
      <w:r>
        <w:rPr>
          <w:rFonts w:hint="eastAsia"/>
          <w:lang w:eastAsia="zh-CN"/>
        </w:rPr>
        <w:t>询价</w:t>
      </w:r>
    </w:p>
    <w:p>
      <w:pPr>
        <w:spacing w:line="400" w:lineRule="exact"/>
        <w:ind w:firstLine="420" w:firstLineChars="200"/>
      </w:pPr>
      <w:bookmarkStart w:id="291" w:name="_Hlk500316526"/>
      <w:bookmarkStart w:id="292" w:name="_Hlk491784891"/>
      <w:r>
        <w:rPr>
          <w:rFonts w:hint="eastAsia"/>
        </w:rPr>
        <w:t>有下列情形之一的，</w:t>
      </w:r>
      <w:r>
        <w:rPr>
          <w:rFonts w:hint="eastAsia"/>
          <w:lang w:eastAsia="zh-CN"/>
        </w:rPr>
        <w:t>询价</w:t>
      </w:r>
      <w:r>
        <w:rPr>
          <w:rFonts w:hint="eastAsia"/>
        </w:rPr>
        <w:t>人可重新</w:t>
      </w:r>
      <w:r>
        <w:rPr>
          <w:rFonts w:hint="eastAsia"/>
          <w:lang w:eastAsia="zh-CN"/>
        </w:rPr>
        <w:t>询价</w:t>
      </w:r>
      <w:r>
        <w:rPr>
          <w:rFonts w:hint="eastAsia"/>
        </w:rPr>
        <w:t>：</w:t>
      </w:r>
    </w:p>
    <w:p>
      <w:pPr>
        <w:spacing w:line="400" w:lineRule="exact"/>
        <w:ind w:firstLine="420" w:firstLineChars="200"/>
      </w:pPr>
      <w:r>
        <w:rPr>
          <w:rFonts w:hint="eastAsia"/>
        </w:rPr>
        <w:t>（1）投标截止时，投标人少于3家的；</w:t>
      </w:r>
    </w:p>
    <w:p>
      <w:pPr>
        <w:spacing w:line="400" w:lineRule="exact"/>
        <w:ind w:firstLine="420" w:firstLineChars="200"/>
      </w:pPr>
      <w:r>
        <w:rPr>
          <w:rFonts w:hint="eastAsia"/>
        </w:rPr>
        <w:t>（2）经评标委员会评审后否决所有投标的；</w:t>
      </w:r>
    </w:p>
    <w:p>
      <w:pPr>
        <w:spacing w:line="400" w:lineRule="exact"/>
        <w:ind w:firstLine="420" w:firstLineChars="200"/>
      </w:pPr>
      <w:r>
        <w:rPr>
          <w:rFonts w:hint="eastAsia"/>
        </w:rPr>
        <w:t>（3）经评标委员会评审后有效投标人少于3个，且有效投标报价均不具备竞争性的；</w:t>
      </w:r>
    </w:p>
    <w:p>
      <w:pPr>
        <w:spacing w:line="400" w:lineRule="exact"/>
        <w:ind w:firstLine="420" w:firstLineChars="200"/>
        <w:rPr>
          <w:shd w:val="clear" w:color="FFFFFF" w:fill="D9D9D9"/>
        </w:rPr>
      </w:pPr>
      <w:r>
        <w:rPr>
          <w:rFonts w:hint="eastAsia"/>
        </w:rPr>
        <w:t>（4）中标人及经原评委会递补为中标人的中标候选人均未与</w:t>
      </w:r>
      <w:r>
        <w:rPr>
          <w:rFonts w:hint="eastAsia"/>
          <w:lang w:eastAsia="zh-CN"/>
        </w:rPr>
        <w:t>询价</w:t>
      </w:r>
      <w:r>
        <w:rPr>
          <w:rFonts w:hint="eastAsia"/>
        </w:rPr>
        <w:t>人签订合同的；</w:t>
      </w:r>
    </w:p>
    <w:p>
      <w:pPr>
        <w:spacing w:line="400" w:lineRule="exact"/>
        <w:ind w:firstLine="420" w:firstLineChars="200"/>
      </w:pPr>
      <w:bookmarkStart w:id="293" w:name="_Hlk497292327"/>
      <w:r>
        <w:rPr>
          <w:rFonts w:hint="eastAsia"/>
        </w:rPr>
        <w:t>（5）评标委员会的评审过程显失公平或投标人存在串通投标等违规行为，经查证属实且影响到评标结果的；</w:t>
      </w:r>
    </w:p>
    <w:p>
      <w:pPr>
        <w:spacing w:line="400" w:lineRule="exact"/>
        <w:ind w:firstLine="420" w:firstLineChars="200"/>
      </w:pPr>
      <w:r>
        <w:rPr>
          <w:rFonts w:hint="eastAsia"/>
        </w:rPr>
        <w:t>（6）若推荐的第一、第二中标候选人之间投标报价差距超过10%或</w:t>
      </w:r>
      <w:r>
        <w:rPr>
          <w:rFonts w:hint="eastAsia"/>
          <w:lang w:val="en-US" w:eastAsia="zh-CN"/>
        </w:rPr>
        <w:t>150</w:t>
      </w:r>
      <w:r>
        <w:rPr>
          <w:rFonts w:hint="eastAsia"/>
        </w:rPr>
        <w:t>万元（以先达到其中之一为准），第一中标候选人放弃或被取消中标资格的。</w:t>
      </w:r>
    </w:p>
    <w:bookmarkEnd w:id="287"/>
    <w:bookmarkEnd w:id="291"/>
    <w:bookmarkEnd w:id="292"/>
    <w:bookmarkEnd w:id="293"/>
    <w:p>
      <w:pPr>
        <w:pStyle w:val="4"/>
        <w:spacing w:line="240" w:lineRule="auto"/>
      </w:pPr>
      <w:r>
        <w:rPr>
          <w:rFonts w:hint="eastAsia"/>
          <w:lang w:val="en-US" w:eastAsia="zh-CN"/>
        </w:rPr>
        <w:t>8</w:t>
      </w:r>
      <w:r>
        <w:rPr>
          <w:rFonts w:hint="eastAsia"/>
        </w:rPr>
        <w:t>. 纪律和监督</w:t>
      </w:r>
      <w:bookmarkEnd w:id="288"/>
    </w:p>
    <w:p>
      <w:pPr>
        <w:pStyle w:val="4"/>
        <w:spacing w:line="240" w:lineRule="auto"/>
      </w:pPr>
      <w:bookmarkStart w:id="294" w:name="_Toc152042351"/>
      <w:bookmarkStart w:id="295" w:name="_Toc152045575"/>
      <w:bookmarkStart w:id="296" w:name="_Toc246996219"/>
      <w:bookmarkStart w:id="297" w:name="_Toc246996962"/>
      <w:bookmarkStart w:id="298" w:name="_Toc247085733"/>
      <w:bookmarkStart w:id="299" w:name="_Toc439064231"/>
      <w:bookmarkStart w:id="300" w:name="_Toc296590983"/>
      <w:bookmarkStart w:id="301" w:name="_Toc500318591"/>
      <w:bookmarkStart w:id="302" w:name="_Toc179632593"/>
      <w:bookmarkStart w:id="303" w:name="_Toc144974543"/>
      <w:r>
        <w:rPr>
          <w:rFonts w:hint="eastAsia"/>
          <w:lang w:val="en-US" w:eastAsia="zh-CN"/>
        </w:rPr>
        <w:t>8</w:t>
      </w:r>
      <w:r>
        <w:rPr>
          <w:rFonts w:hint="eastAsia"/>
        </w:rPr>
        <w:t>.1 对</w:t>
      </w:r>
      <w:r>
        <w:rPr>
          <w:rFonts w:hint="eastAsia"/>
          <w:lang w:eastAsia="zh-CN"/>
        </w:rPr>
        <w:t>询价</w:t>
      </w:r>
      <w:r>
        <w:rPr>
          <w:rFonts w:hint="eastAsia"/>
        </w:rPr>
        <w:t>人的纪律要求</w:t>
      </w:r>
      <w:bookmarkEnd w:id="294"/>
      <w:bookmarkEnd w:id="295"/>
      <w:bookmarkEnd w:id="296"/>
      <w:bookmarkEnd w:id="297"/>
      <w:bookmarkEnd w:id="298"/>
      <w:bookmarkEnd w:id="299"/>
      <w:bookmarkEnd w:id="300"/>
      <w:bookmarkEnd w:id="301"/>
      <w:bookmarkEnd w:id="302"/>
      <w:bookmarkEnd w:id="303"/>
    </w:p>
    <w:p>
      <w:pPr>
        <w:spacing w:line="400" w:lineRule="exact"/>
        <w:ind w:firstLine="420" w:firstLineChars="200"/>
      </w:pPr>
      <w:r>
        <w:rPr>
          <w:rFonts w:hint="eastAsia"/>
          <w:lang w:eastAsia="zh-CN"/>
        </w:rPr>
        <w:t>询价</w:t>
      </w:r>
      <w:r>
        <w:rPr>
          <w:rFonts w:hint="eastAsia"/>
        </w:rPr>
        <w:t>人不得泄漏</w:t>
      </w:r>
      <w:r>
        <w:rPr>
          <w:rFonts w:hint="eastAsia"/>
          <w:lang w:eastAsia="zh-CN"/>
        </w:rPr>
        <w:t>询价</w:t>
      </w:r>
      <w:r>
        <w:rPr>
          <w:rFonts w:hint="eastAsia"/>
        </w:rPr>
        <w:t>投标活动中应当保密的情况和资料，不得与投标人串通损害国家利益、社会公共利益、公司利益或者他人合法权益。</w:t>
      </w:r>
    </w:p>
    <w:p>
      <w:pPr>
        <w:pStyle w:val="4"/>
        <w:spacing w:line="240" w:lineRule="auto"/>
      </w:pPr>
      <w:bookmarkStart w:id="304" w:name="_Toc246996963"/>
      <w:bookmarkStart w:id="305" w:name="_Toc246996220"/>
      <w:bookmarkStart w:id="306" w:name="_Toc179632594"/>
      <w:bookmarkStart w:id="307" w:name="_Toc144974544"/>
      <w:bookmarkStart w:id="308" w:name="_Toc439064232"/>
      <w:bookmarkStart w:id="309" w:name="_Toc152042352"/>
      <w:bookmarkStart w:id="310" w:name="_Toc152045576"/>
      <w:bookmarkStart w:id="311" w:name="_Toc500318592"/>
      <w:bookmarkStart w:id="312" w:name="_Toc247085734"/>
      <w:r>
        <w:rPr>
          <w:rFonts w:hint="eastAsia"/>
          <w:lang w:val="en-US" w:eastAsia="zh-CN"/>
        </w:rPr>
        <w:t>8</w:t>
      </w:r>
      <w:r>
        <w:rPr>
          <w:rFonts w:hint="eastAsia"/>
        </w:rPr>
        <w:t>.2 对投标人的纪律要求</w:t>
      </w:r>
      <w:bookmarkEnd w:id="304"/>
      <w:bookmarkEnd w:id="305"/>
      <w:bookmarkEnd w:id="306"/>
      <w:bookmarkEnd w:id="307"/>
      <w:bookmarkEnd w:id="308"/>
      <w:bookmarkEnd w:id="309"/>
      <w:bookmarkEnd w:id="310"/>
      <w:bookmarkEnd w:id="311"/>
      <w:bookmarkEnd w:id="312"/>
    </w:p>
    <w:p>
      <w:pPr>
        <w:spacing w:line="400" w:lineRule="exact"/>
        <w:ind w:firstLine="420" w:firstLineChars="200"/>
      </w:pPr>
      <w:bookmarkStart w:id="313" w:name="_Hlk500316607"/>
      <w:r>
        <w:rPr>
          <w:rFonts w:hint="eastAsia"/>
          <w:lang w:val="en-US" w:eastAsia="zh-CN"/>
        </w:rPr>
        <w:t>8.</w:t>
      </w:r>
      <w:r>
        <w:rPr>
          <w:rFonts w:hint="eastAsia"/>
        </w:rPr>
        <w:t>2.1 投标人不得相互串通投标或者与</w:t>
      </w:r>
      <w:r>
        <w:rPr>
          <w:rFonts w:hint="eastAsia"/>
          <w:lang w:eastAsia="zh-CN"/>
        </w:rPr>
        <w:t>询价</w:t>
      </w:r>
      <w:r>
        <w:rPr>
          <w:rFonts w:hint="eastAsia"/>
        </w:rPr>
        <w:t>人串通投标，不得向</w:t>
      </w:r>
      <w:r>
        <w:rPr>
          <w:rFonts w:hint="eastAsia"/>
          <w:lang w:eastAsia="zh-CN"/>
        </w:rPr>
        <w:t>询价</w:t>
      </w:r>
      <w:r>
        <w:rPr>
          <w:rFonts w:hint="eastAsia"/>
        </w:rPr>
        <w:t>人或者评标委员会成员行贿谋取中标，不得以他人名义投标或者以其他方式弄虚作假骗取中标；投标人不得以任何方式干扰、影响评标工作。</w:t>
      </w:r>
    </w:p>
    <w:p>
      <w:pPr>
        <w:spacing w:line="400" w:lineRule="exact"/>
        <w:ind w:firstLine="420" w:firstLineChars="200"/>
      </w:pPr>
      <w:r>
        <w:rPr>
          <w:rFonts w:hint="eastAsia"/>
          <w:lang w:val="en-US" w:eastAsia="zh-CN"/>
        </w:rPr>
        <w:t>8.</w:t>
      </w:r>
      <w:r>
        <w:rPr>
          <w:rFonts w:hint="eastAsia"/>
        </w:rPr>
        <w:t>2.2 在确定中标人之前，投标人不得与采购人就投标价格、投标方案等实质性内容进行谈判，也不得私下接触评委会成员。</w:t>
      </w:r>
    </w:p>
    <w:p>
      <w:pPr>
        <w:spacing w:line="400" w:lineRule="exact"/>
        <w:ind w:firstLine="420" w:firstLineChars="200"/>
      </w:pPr>
      <w:r>
        <w:rPr>
          <w:rFonts w:hint="eastAsia"/>
          <w:lang w:val="en-US" w:eastAsia="zh-CN"/>
        </w:rPr>
        <w:t>8</w:t>
      </w:r>
      <w:r>
        <w:rPr>
          <w:rFonts w:hint="eastAsia"/>
        </w:rPr>
        <w:t>.2.3 在确定中标人之前，投标人试图在投标文件审查、澄清、比较和评价时对评委会、采购人和交易中心施加任何影响都可能导致其投标无效。</w:t>
      </w:r>
    </w:p>
    <w:p>
      <w:pPr>
        <w:spacing w:line="400" w:lineRule="exact"/>
        <w:ind w:firstLine="420" w:firstLineChars="200"/>
      </w:pPr>
      <w:r>
        <w:rPr>
          <w:rFonts w:hint="eastAsia"/>
          <w:lang w:val="en-US" w:eastAsia="zh-CN"/>
        </w:rPr>
        <w:t>8</w:t>
      </w:r>
      <w:r>
        <w:rPr>
          <w:rFonts w:hint="eastAsia"/>
        </w:rPr>
        <w:t>.2.4 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bookmarkEnd w:id="313"/>
    <w:p>
      <w:pPr>
        <w:pStyle w:val="4"/>
        <w:spacing w:line="240" w:lineRule="auto"/>
      </w:pPr>
      <w:bookmarkStart w:id="314" w:name="_Toc144974545"/>
      <w:bookmarkStart w:id="315" w:name="_Toc439064233"/>
      <w:bookmarkStart w:id="316" w:name="_Toc246996221"/>
      <w:bookmarkStart w:id="317" w:name="_Toc152042353"/>
      <w:bookmarkStart w:id="318" w:name="_Toc152045577"/>
      <w:bookmarkStart w:id="319" w:name="_Toc179632595"/>
      <w:bookmarkStart w:id="320" w:name="_Toc246996964"/>
      <w:bookmarkStart w:id="321" w:name="_Toc247085735"/>
      <w:bookmarkStart w:id="322" w:name="_Toc500318593"/>
      <w:r>
        <w:rPr>
          <w:rFonts w:hint="eastAsia"/>
          <w:lang w:val="en-US" w:eastAsia="zh-CN"/>
        </w:rPr>
        <w:t>8</w:t>
      </w:r>
      <w:r>
        <w:rPr>
          <w:rFonts w:hint="eastAsia"/>
        </w:rPr>
        <w:t>.3 对评标委员会成员的纪律要求</w:t>
      </w:r>
      <w:bookmarkEnd w:id="314"/>
      <w:bookmarkEnd w:id="315"/>
      <w:bookmarkEnd w:id="316"/>
      <w:bookmarkEnd w:id="317"/>
      <w:bookmarkEnd w:id="318"/>
      <w:bookmarkEnd w:id="319"/>
      <w:bookmarkEnd w:id="320"/>
      <w:bookmarkEnd w:id="321"/>
      <w:bookmarkEnd w:id="322"/>
    </w:p>
    <w:p>
      <w:pPr>
        <w:spacing w:line="400" w:lineRule="exact"/>
        <w:ind w:firstLine="420" w:firstLineChars="200"/>
      </w:pPr>
      <w:bookmarkStart w:id="323" w:name="_Hlk500316689"/>
      <w:r>
        <w:rPr>
          <w:rFonts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End w:id="323"/>
    </w:p>
    <w:p>
      <w:pPr>
        <w:pStyle w:val="4"/>
        <w:spacing w:line="240" w:lineRule="auto"/>
      </w:pPr>
      <w:bookmarkStart w:id="324" w:name="_Toc152045578"/>
      <w:bookmarkStart w:id="325" w:name="_Toc439064234"/>
      <w:bookmarkStart w:id="326" w:name="_Toc246996965"/>
      <w:bookmarkStart w:id="327" w:name="_Toc179632596"/>
      <w:bookmarkStart w:id="328" w:name="_Toc500318594"/>
      <w:bookmarkStart w:id="329" w:name="_Toc152042354"/>
      <w:bookmarkStart w:id="330" w:name="_Toc246996222"/>
      <w:bookmarkStart w:id="331" w:name="_Toc247085736"/>
      <w:bookmarkStart w:id="332" w:name="_Toc144974546"/>
      <w:r>
        <w:rPr>
          <w:rFonts w:hint="eastAsia"/>
          <w:lang w:val="en-US" w:eastAsia="zh-CN"/>
        </w:rPr>
        <w:t>8</w:t>
      </w:r>
      <w:r>
        <w:rPr>
          <w:rFonts w:hint="eastAsia"/>
        </w:rPr>
        <w:t>.4 对与评标活动有关的工作人员的纪律要求</w:t>
      </w:r>
      <w:bookmarkEnd w:id="324"/>
      <w:bookmarkEnd w:id="325"/>
      <w:bookmarkEnd w:id="326"/>
      <w:bookmarkEnd w:id="327"/>
      <w:bookmarkEnd w:id="328"/>
      <w:bookmarkEnd w:id="329"/>
      <w:bookmarkEnd w:id="330"/>
      <w:bookmarkEnd w:id="331"/>
    </w:p>
    <w:p>
      <w:pPr>
        <w:spacing w:line="400" w:lineRule="exact"/>
        <w:ind w:firstLine="420" w:firstLineChars="200"/>
      </w:pPr>
      <w:bookmarkStart w:id="333"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3"/>
    </w:p>
    <w:p>
      <w:pPr>
        <w:pStyle w:val="4"/>
        <w:spacing w:line="240" w:lineRule="auto"/>
      </w:pPr>
      <w:bookmarkStart w:id="334" w:name="_Toc152042356"/>
      <w:bookmarkStart w:id="335" w:name="_Toc179632597"/>
      <w:bookmarkStart w:id="336" w:name="_Toc246996223"/>
      <w:bookmarkStart w:id="337" w:name="_Toc152045579"/>
      <w:bookmarkStart w:id="338" w:name="_Toc246996966"/>
      <w:bookmarkStart w:id="339" w:name="_Toc247085737"/>
      <w:bookmarkStart w:id="340" w:name="_Toc500318595"/>
      <w:bookmarkStart w:id="341" w:name="_Toc439064235"/>
      <w:r>
        <w:rPr>
          <w:rFonts w:hint="eastAsia"/>
          <w:lang w:val="en-US" w:eastAsia="zh-CN"/>
        </w:rPr>
        <w:t>8</w:t>
      </w:r>
      <w:r>
        <w:rPr>
          <w:rFonts w:hint="eastAsia"/>
        </w:rPr>
        <w:t>.5 质疑和投诉</w:t>
      </w:r>
      <w:bookmarkEnd w:id="332"/>
      <w:bookmarkEnd w:id="334"/>
      <w:bookmarkEnd w:id="335"/>
      <w:bookmarkEnd w:id="336"/>
      <w:bookmarkEnd w:id="337"/>
      <w:bookmarkEnd w:id="338"/>
      <w:bookmarkEnd w:id="339"/>
      <w:bookmarkEnd w:id="340"/>
      <w:bookmarkEnd w:id="341"/>
    </w:p>
    <w:p>
      <w:pPr>
        <w:spacing w:line="400" w:lineRule="exact"/>
        <w:ind w:firstLine="420" w:firstLineChars="200"/>
      </w:pPr>
      <w:r>
        <w:rPr>
          <w:rFonts w:hint="eastAsia"/>
        </w:rPr>
        <w:t>投标人认为本次</w:t>
      </w:r>
      <w:r>
        <w:rPr>
          <w:rFonts w:hint="eastAsia"/>
          <w:lang w:eastAsia="zh-CN"/>
        </w:rPr>
        <w:t>询价</w:t>
      </w:r>
      <w:r>
        <w:rPr>
          <w:rFonts w:hint="eastAsia"/>
        </w:rPr>
        <w:t>活动有违反招投标相关规定的，有权向纪检监督部门投诉。</w:t>
      </w:r>
    </w:p>
    <w:p>
      <w:pPr>
        <w:pStyle w:val="4"/>
        <w:spacing w:line="240" w:lineRule="auto"/>
      </w:pPr>
      <w:bookmarkStart w:id="342" w:name="_Toc500318596"/>
      <w:r>
        <w:rPr>
          <w:rFonts w:hint="eastAsia"/>
          <w:lang w:val="en-US" w:eastAsia="zh-CN"/>
        </w:rPr>
        <w:t>8</w:t>
      </w:r>
      <w:r>
        <w:t>.6</w:t>
      </w:r>
      <w:r>
        <w:rPr>
          <w:rFonts w:hint="eastAsia"/>
        </w:rPr>
        <w:t>黑名单管理</w:t>
      </w:r>
      <w:bookmarkEnd w:id="342"/>
    </w:p>
    <w:p>
      <w:pPr>
        <w:spacing w:line="400" w:lineRule="exact"/>
        <w:ind w:firstLine="420" w:firstLineChars="200"/>
      </w:pPr>
      <w:bookmarkStart w:id="343" w:name="_Hlk500316761"/>
      <w:r>
        <w:rPr>
          <w:rFonts w:hint="eastAsia"/>
        </w:rPr>
        <w:t>投标人存在以下行为之一的，将被清退出库。清退出库的单位，不得参加经工集团有限公司（含所属单位）所有投标活动。</w:t>
      </w:r>
    </w:p>
    <w:bookmarkEnd w:id="343"/>
    <w:p>
      <w:pPr>
        <w:spacing w:line="400" w:lineRule="exact"/>
        <w:ind w:firstLine="420" w:firstLineChars="200"/>
      </w:pPr>
      <w:r>
        <w:rPr>
          <w:rFonts w:hint="eastAsia"/>
        </w:rPr>
        <w:t>(1) 向</w:t>
      </w:r>
      <w:r>
        <w:rPr>
          <w:rFonts w:hint="eastAsia"/>
          <w:lang w:eastAsia="zh-CN"/>
        </w:rPr>
        <w:t>询价</w:t>
      </w:r>
      <w:r>
        <w:rPr>
          <w:rFonts w:hint="eastAsia"/>
        </w:rPr>
        <w:t>人或招评标相关人员进行商业贿赂的；</w:t>
      </w:r>
    </w:p>
    <w:p>
      <w:pPr>
        <w:spacing w:line="400" w:lineRule="exact"/>
        <w:ind w:firstLine="420" w:firstLineChars="200"/>
      </w:pPr>
      <w:r>
        <w:rPr>
          <w:rFonts w:hint="eastAsia"/>
        </w:rPr>
        <w:t>(2) 在招投标过程中相互串通投标、非法以他人名义投标和以其他方式弄虚作假骗取中标的；</w:t>
      </w:r>
    </w:p>
    <w:p>
      <w:pPr>
        <w:spacing w:line="400" w:lineRule="exact"/>
        <w:ind w:firstLine="420" w:firstLineChars="200"/>
      </w:pPr>
      <w:r>
        <w:rPr>
          <w:rFonts w:hint="eastAsia"/>
        </w:rPr>
        <w:t>(3) 中标后放弃中标或不按照规定期限签订合同或不按时缴纳履约保证金（或银行保函）的；</w:t>
      </w:r>
    </w:p>
    <w:p>
      <w:pPr>
        <w:spacing w:line="400" w:lineRule="exact"/>
        <w:ind w:firstLine="420" w:firstLineChars="200"/>
      </w:pPr>
      <w:r>
        <w:rPr>
          <w:rFonts w:hint="eastAsia"/>
        </w:rPr>
        <w:t>(4) 存在违反</w:t>
      </w:r>
      <w:r>
        <w:rPr>
          <w:rFonts w:hint="eastAsia"/>
          <w:lang w:eastAsia="zh-CN"/>
        </w:rPr>
        <w:t>询价</w:t>
      </w:r>
      <w:r>
        <w:rPr>
          <w:rFonts w:hint="eastAsia"/>
        </w:rPr>
        <w:t>文件“第3.4.5 款”规定的不予退还投标保证金行为之一的：</w:t>
      </w:r>
    </w:p>
    <w:p>
      <w:pPr>
        <w:spacing w:line="400" w:lineRule="exact"/>
        <w:ind w:firstLine="420" w:firstLineChars="200"/>
      </w:pPr>
      <w:r>
        <w:rPr>
          <w:rFonts w:hint="eastAsia"/>
        </w:rPr>
        <w:t>(5) 其他行为给</w:t>
      </w:r>
      <w:r>
        <w:rPr>
          <w:rFonts w:hint="eastAsia"/>
          <w:lang w:eastAsia="zh-CN"/>
        </w:rPr>
        <w:t>询价</w:t>
      </w:r>
      <w:r>
        <w:rPr>
          <w:rFonts w:hint="eastAsia"/>
        </w:rPr>
        <w:t>人造成损失，且拒不赔偿的；</w:t>
      </w:r>
    </w:p>
    <w:p/>
    <w:p>
      <w:pPr>
        <w:pStyle w:val="2"/>
        <w:numPr>
          <w:ilvl w:val="0"/>
          <w:numId w:val="8"/>
        </w:numPr>
        <w:jc w:val="center"/>
      </w:pPr>
      <w:bookmarkStart w:id="344" w:name="_Toc500318598"/>
      <w:r>
        <w:rPr>
          <w:rFonts w:hint="eastAsia"/>
          <w:highlight w:val="yellow"/>
        </w:rPr>
        <w:t>评标办法</w:t>
      </w:r>
      <w:bookmarkEnd w:id="344"/>
    </w:p>
    <w:p>
      <w:pPr>
        <w:spacing w:line="560" w:lineRule="exact"/>
        <w:rPr>
          <w:rFonts w:asciiTheme="minorEastAsia" w:hAnsiTheme="minorEastAsia" w:cstheme="minorEastAsia"/>
          <w:sz w:val="24"/>
        </w:rPr>
      </w:pPr>
      <w:r>
        <w:rPr>
          <w:rFonts w:hint="eastAsia" w:asciiTheme="minorEastAsia" w:hAnsiTheme="minorEastAsia" w:cstheme="minorEastAsia"/>
          <w:sz w:val="24"/>
        </w:rPr>
        <w:t>通过初步评审，符合要求的投标单位则进入详细评审。详细评审办法如下：</w:t>
      </w:r>
    </w:p>
    <w:p>
      <w:pPr>
        <w:numPr>
          <w:ilvl w:val="0"/>
          <w:numId w:val="9"/>
        </w:num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投标单位报价超过最高限价的，则直接取消投标资格。</w:t>
      </w:r>
    </w:p>
    <w:p>
      <w:pPr>
        <w:numPr>
          <w:ilvl w:val="0"/>
          <w:numId w:val="9"/>
        </w:numPr>
        <w:spacing w:line="56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rPr>
        <w:t>本次报价：</w:t>
      </w:r>
      <w:r>
        <w:rPr>
          <w:rFonts w:hint="eastAsia" w:asciiTheme="minorEastAsia" w:hAnsiTheme="minorEastAsia" w:cstheme="minorEastAsia"/>
          <w:sz w:val="24"/>
          <w:u w:val="single"/>
        </w:rPr>
        <w:t>有效投标报价的最低价为中标价。有效投标报价：通过初步评审，申请人的总报价（含增值税）不得等于或者高于最高限价，不得</w:t>
      </w:r>
      <w:r>
        <w:rPr>
          <w:rFonts w:hint="eastAsia" w:asciiTheme="minorEastAsia" w:hAnsiTheme="minorEastAsia" w:cstheme="minorEastAsia"/>
          <w:sz w:val="24"/>
          <w:u w:val="single"/>
          <w:lang w:eastAsia="zh-CN"/>
        </w:rPr>
        <w:t>低</w:t>
      </w:r>
      <w:r>
        <w:rPr>
          <w:rFonts w:hint="eastAsia" w:asciiTheme="minorEastAsia" w:hAnsiTheme="minorEastAsia" w:cstheme="minorEastAsia"/>
          <w:sz w:val="24"/>
          <w:u w:val="single"/>
        </w:rPr>
        <w:t>于成本价。</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3、为防止申请人低于成本竞标或以不均衡报价、漏项等故意降低投标报价及投标报价明显低于市场价格的行为，本项目评审时设置</w:t>
      </w:r>
      <w:r>
        <w:rPr>
          <w:rFonts w:hint="eastAsia" w:asciiTheme="minorEastAsia" w:hAnsiTheme="minorEastAsia" w:cstheme="minorEastAsia"/>
          <w:sz w:val="24"/>
          <w:lang w:eastAsia="zh-CN"/>
        </w:rPr>
        <w:t>投标</w:t>
      </w:r>
      <w:r>
        <w:rPr>
          <w:rFonts w:hint="eastAsia" w:asciiTheme="minorEastAsia" w:hAnsiTheme="minorEastAsia" w:cstheme="minorEastAsia"/>
          <w:sz w:val="24"/>
        </w:rPr>
        <w:t>成本价，报价人如出现低于</w:t>
      </w:r>
      <w:r>
        <w:rPr>
          <w:rFonts w:hint="eastAsia" w:asciiTheme="minorEastAsia" w:hAnsiTheme="minorEastAsia" w:cstheme="minorEastAsia"/>
          <w:sz w:val="24"/>
          <w:lang w:eastAsia="zh-CN"/>
        </w:rPr>
        <w:t>投标</w:t>
      </w:r>
      <w:r>
        <w:rPr>
          <w:rFonts w:hint="eastAsia" w:asciiTheme="minorEastAsia" w:hAnsiTheme="minorEastAsia" w:cstheme="minorEastAsia"/>
          <w:sz w:val="24"/>
        </w:rPr>
        <w:t>成本价的报价行为，由评标委员会对以上投标行为进行认定，也可对报价人进行质询。对评标委员会的质询报价人应当进行说明并提供相应证明材料。报价人能够提供有效合理的证明材料，说明其正当理由的，评委意见一致同意，（评委意见不一致的，以多数意见为准）同意签字认可后，可视为报价合理，但在中标通知书发出后三日内需向询价人缴纳对应差价金额的“风险控制保证金”。对应差价金额（风险控制保证金）=(成本价-中标价)。该“风险控制保证金”在本工程合同约定的工作内容全部完成后30个工作日内无息返还。报价人如出现低于成本价以外的报价行为未被评委认可，由评标委员会直接按废标处理。</w:t>
      </w:r>
    </w:p>
    <w:p>
      <w:pPr>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有效投标报价的最低报价出现相同的情况下，评标委员会根据申请人投标响应文件中列出的申请人及项目负责人奖项荣誉情况综合考虑优选选择中标人（先比项目经理业绩，再比企业业绩；同类业绩个数相同时以与名企合作的业绩优先，名企名单详经工集团劳务入库公告备注；再相同时由评委会推荐）。</w:t>
      </w:r>
      <w:bookmarkStart w:id="345" w:name="_Toc246996995"/>
      <w:bookmarkStart w:id="346" w:name="_Toc152045609"/>
      <w:bookmarkStart w:id="347" w:name="_Toc247085767"/>
      <w:bookmarkStart w:id="348" w:name="_Toc246996252"/>
      <w:bookmarkStart w:id="349" w:name="_Toc144974577"/>
      <w:bookmarkStart w:id="350" w:name="_Toc179632627"/>
      <w:bookmarkStart w:id="351" w:name="_Toc152042387"/>
      <w:bookmarkStart w:id="352" w:name="_Toc500318599"/>
    </w:p>
    <w:p>
      <w:pPr>
        <w:spacing w:line="560" w:lineRule="exact"/>
        <w:ind w:firstLine="480" w:firstLineChars="200"/>
        <w:rPr>
          <w:rFonts w:asciiTheme="minorEastAsia" w:hAnsiTheme="minorEastAsia" w:cstheme="minorEastAsia"/>
          <w:sz w:val="24"/>
        </w:rPr>
      </w:pPr>
    </w:p>
    <w:p>
      <w:pPr>
        <w:pStyle w:val="7"/>
        <w:rPr>
          <w:rFonts w:asciiTheme="minorEastAsia" w:hAnsiTheme="minorEastAsia" w:cstheme="minorEastAsia"/>
          <w:sz w:val="24"/>
        </w:rPr>
      </w:pPr>
    </w:p>
    <w:p>
      <w:pPr>
        <w:pStyle w:val="7"/>
        <w:rPr>
          <w:rFonts w:asciiTheme="minorEastAsia" w:hAnsiTheme="minorEastAsia" w:cstheme="minorEastAsia"/>
          <w:sz w:val="24"/>
        </w:rPr>
      </w:pPr>
    </w:p>
    <w:p>
      <w:pPr>
        <w:pStyle w:val="7"/>
        <w:rPr>
          <w:rFonts w:asciiTheme="minorEastAsia" w:hAnsiTheme="minorEastAsia" w:cstheme="minorEastAsia"/>
          <w:sz w:val="24"/>
        </w:rPr>
      </w:pPr>
    </w:p>
    <w:p>
      <w:pPr>
        <w:pStyle w:val="7"/>
        <w:rPr>
          <w:rFonts w:asciiTheme="minorEastAsia" w:hAnsiTheme="minorEastAsia" w:cstheme="minorEastAsia"/>
          <w:sz w:val="24"/>
        </w:rPr>
      </w:pPr>
    </w:p>
    <w:bookmarkEnd w:id="345"/>
    <w:bookmarkEnd w:id="346"/>
    <w:bookmarkEnd w:id="347"/>
    <w:bookmarkEnd w:id="348"/>
    <w:bookmarkEnd w:id="349"/>
    <w:bookmarkEnd w:id="350"/>
    <w:bookmarkEnd w:id="351"/>
    <w:bookmarkEnd w:id="352"/>
    <w:p>
      <w:pPr>
        <w:pStyle w:val="2"/>
        <w:keepLines w:val="0"/>
        <w:widowControl/>
        <w:numPr>
          <w:ilvl w:val="0"/>
          <w:numId w:val="10"/>
        </w:numPr>
        <w:spacing w:before="0" w:after="0" w:line="240" w:lineRule="auto"/>
        <w:jc w:val="center"/>
        <w:rPr>
          <w:rFonts w:ascii="宋体" w:hAnsi="宋体"/>
          <w:b w:val="0"/>
          <w:sz w:val="36"/>
          <w:szCs w:val="36"/>
        </w:rPr>
      </w:pPr>
      <w:r>
        <w:rPr>
          <w:rFonts w:hint="eastAsia"/>
        </w:rPr>
        <w:t>第四章 合同主要条款及格式</w:t>
      </w:r>
      <w:r>
        <w:rPr>
          <w:rFonts w:hint="eastAsia" w:ascii="宋体" w:hAnsi="宋体"/>
          <w:b w:val="0"/>
          <w:sz w:val="36"/>
          <w:szCs w:val="36"/>
        </w:rPr>
        <w:t xml:space="preserve"> </w:t>
      </w:r>
    </w:p>
    <w:p>
      <w:pPr>
        <w:spacing w:line="360" w:lineRule="auto"/>
        <w:ind w:firstLine="1800" w:firstLineChars="500"/>
        <w:rPr>
          <w:rFonts w:ascii="黑体" w:eastAsia="黑体"/>
          <w:sz w:val="36"/>
          <w:szCs w:val="36"/>
        </w:rPr>
      </w:pPr>
    </w:p>
    <w:p>
      <w:pPr>
        <w:spacing w:line="360" w:lineRule="auto"/>
        <w:ind w:firstLine="2520" w:firstLineChars="700"/>
        <w:rPr>
          <w:rFonts w:ascii="黑体" w:eastAsia="黑体"/>
          <w:sz w:val="36"/>
          <w:szCs w:val="36"/>
          <w:u w:val="single"/>
        </w:rPr>
      </w:pPr>
      <w:r>
        <w:rPr>
          <w:rFonts w:hint="eastAsia" w:ascii="黑体" w:eastAsia="黑体"/>
          <w:sz w:val="36"/>
          <w:szCs w:val="36"/>
        </w:rPr>
        <w:t xml:space="preserve">项目名称： </w:t>
      </w:r>
      <w:r>
        <w:rPr>
          <w:rFonts w:hint="eastAsia" w:ascii="黑体" w:eastAsia="黑体"/>
          <w:sz w:val="36"/>
          <w:szCs w:val="36"/>
          <w:u w:val="single"/>
        </w:rPr>
        <w:t xml:space="preserve">             </w:t>
      </w:r>
      <w:r>
        <w:rPr>
          <w:rFonts w:hint="eastAsia" w:ascii="黑体" w:eastAsia="黑体"/>
          <w:sz w:val="36"/>
          <w:szCs w:val="36"/>
        </w:rPr>
        <w:t xml:space="preserve">      </w:t>
      </w:r>
    </w:p>
    <w:p>
      <w:pPr>
        <w:spacing w:line="360" w:lineRule="auto"/>
        <w:rPr>
          <w:rFonts w:ascii="黑体" w:eastAsia="黑体"/>
          <w:sz w:val="48"/>
          <w:szCs w:val="48"/>
        </w:rPr>
      </w:pPr>
    </w:p>
    <w:p>
      <w:pPr>
        <w:pStyle w:val="7"/>
        <w:rPr>
          <w:rFonts w:ascii="黑体" w:eastAsia="黑体"/>
          <w:sz w:val="48"/>
          <w:szCs w:val="48"/>
        </w:rPr>
      </w:pPr>
    </w:p>
    <w:p>
      <w:pPr>
        <w:pStyle w:val="7"/>
        <w:rPr>
          <w:rFonts w:ascii="黑体" w:eastAsia="黑体"/>
          <w:sz w:val="48"/>
          <w:szCs w:val="48"/>
        </w:rPr>
      </w:pPr>
    </w:p>
    <w:p>
      <w:pPr>
        <w:spacing w:line="360" w:lineRule="auto"/>
        <w:jc w:val="center"/>
        <w:rPr>
          <w:rFonts w:ascii="黑体" w:eastAsia="黑体"/>
          <w:szCs w:val="21"/>
        </w:rPr>
      </w:pPr>
    </w:p>
    <w:p>
      <w:pPr>
        <w:spacing w:line="360" w:lineRule="auto"/>
        <w:jc w:val="center"/>
        <w:rPr>
          <w:rFonts w:ascii="黑体" w:eastAsia="黑体"/>
          <w:szCs w:val="21"/>
        </w:rPr>
      </w:pPr>
      <w:r>
        <w:rPr>
          <w:rFonts w:hint="eastAsia" w:ascii="黑体" w:eastAsia="黑体"/>
          <w:sz w:val="48"/>
          <w:szCs w:val="48"/>
        </w:rPr>
        <w:t>合</w:t>
      </w:r>
    </w:p>
    <w:p>
      <w:pPr>
        <w:spacing w:line="360" w:lineRule="auto"/>
        <w:jc w:val="center"/>
        <w:rPr>
          <w:rFonts w:hint="eastAsia" w:ascii="黑体" w:eastAsia="黑体"/>
          <w:sz w:val="48"/>
          <w:szCs w:val="48"/>
        </w:rPr>
      </w:pPr>
      <w:r>
        <w:rPr>
          <w:rFonts w:hint="eastAsia" w:ascii="黑体" w:eastAsia="黑体"/>
          <w:sz w:val="48"/>
          <w:szCs w:val="48"/>
        </w:rPr>
        <w:t>同</w:t>
      </w:r>
    </w:p>
    <w:p>
      <w:pPr>
        <w:spacing w:line="360" w:lineRule="auto"/>
        <w:jc w:val="center"/>
        <w:rPr>
          <w:rFonts w:hint="eastAsia" w:ascii="黑体" w:eastAsia="黑体"/>
          <w:sz w:val="48"/>
          <w:szCs w:val="48"/>
          <w:lang w:val="en-US" w:eastAsia="zh-CN"/>
        </w:rPr>
      </w:pPr>
      <w:r>
        <w:rPr>
          <w:rFonts w:hint="eastAsia" w:ascii="黑体" w:eastAsia="黑体"/>
          <w:sz w:val="48"/>
          <w:szCs w:val="48"/>
          <w:lang w:val="en-US" w:eastAsia="zh-CN"/>
        </w:rPr>
        <w:t>协</w:t>
      </w:r>
    </w:p>
    <w:p>
      <w:pPr>
        <w:spacing w:line="360" w:lineRule="auto"/>
        <w:jc w:val="center"/>
        <w:rPr>
          <w:rFonts w:hint="eastAsia" w:ascii="黑体" w:eastAsia="黑体"/>
          <w:sz w:val="48"/>
          <w:szCs w:val="48"/>
          <w:lang w:val="en-US" w:eastAsia="zh-CN"/>
        </w:rPr>
      </w:pPr>
      <w:r>
        <w:rPr>
          <w:rFonts w:hint="eastAsia" w:ascii="黑体" w:eastAsia="黑体"/>
          <w:sz w:val="48"/>
          <w:szCs w:val="48"/>
          <w:lang w:val="en-US" w:eastAsia="zh-CN"/>
        </w:rPr>
        <w:t>议</w:t>
      </w:r>
    </w:p>
    <w:p>
      <w:pPr>
        <w:spacing w:line="360" w:lineRule="auto"/>
        <w:jc w:val="center"/>
        <w:rPr>
          <w:rFonts w:hint="eastAsia" w:ascii="黑体" w:eastAsia="黑体"/>
          <w:sz w:val="48"/>
          <w:szCs w:val="48"/>
          <w:lang w:val="en-US" w:eastAsia="zh-CN"/>
        </w:rPr>
      </w:pPr>
      <w:r>
        <w:rPr>
          <w:rFonts w:hint="eastAsia" w:ascii="黑体" w:eastAsia="黑体"/>
          <w:sz w:val="48"/>
          <w:szCs w:val="48"/>
          <w:lang w:val="en-US" w:eastAsia="zh-CN"/>
        </w:rPr>
        <w:t>书</w:t>
      </w:r>
    </w:p>
    <w:p>
      <w:pPr>
        <w:spacing w:line="360" w:lineRule="auto"/>
        <w:jc w:val="center"/>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pStyle w:val="7"/>
        <w:rPr>
          <w:rFonts w:ascii="黑体" w:eastAsia="黑体"/>
          <w:sz w:val="44"/>
          <w:szCs w:val="44"/>
        </w:rPr>
      </w:pPr>
    </w:p>
    <w:p>
      <w:pPr>
        <w:keepNext w:val="0"/>
        <w:keepLines w:val="0"/>
        <w:pageBreakBefore w:val="0"/>
        <w:kinsoku/>
        <w:overflowPunct/>
        <w:bidi w:val="0"/>
        <w:spacing w:line="400" w:lineRule="exact"/>
        <w:jc w:val="center"/>
        <w:textAlignment w:val="auto"/>
        <w:rPr>
          <w:rFonts w:hint="eastAsia" w:ascii="黑体" w:eastAsia="黑体"/>
          <w:sz w:val="22"/>
          <w:szCs w:val="22"/>
        </w:rPr>
      </w:pPr>
      <w:r>
        <w:rPr>
          <w:rFonts w:hint="eastAsia" w:ascii="黑体" w:eastAsia="黑体"/>
          <w:sz w:val="22"/>
          <w:szCs w:val="22"/>
        </w:rPr>
        <w:t>安徽省经工建设集团有限公司</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甲方（全称）：</w:t>
      </w:r>
      <w:r>
        <w:rPr>
          <w:rFonts w:hint="eastAsia" w:ascii="仿宋_GB2312" w:hAnsi="仿宋_GB2312" w:eastAsia="仿宋_GB2312" w:cs="仿宋_GB2312"/>
          <w:color w:val="000000"/>
          <w:sz w:val="22"/>
          <w:szCs w:val="22"/>
          <w:u w:val="single"/>
        </w:rPr>
        <w:t>安徽省经工建设集团有限公司</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乙方（全称）：</w:t>
      </w:r>
      <w:r>
        <w:rPr>
          <w:rFonts w:hint="eastAsia" w:ascii="仿宋_GB2312" w:hAnsi="仿宋_GB2312" w:eastAsia="仿宋_GB2312" w:cs="仿宋_GB2312"/>
          <w:color w:val="0C0C0C"/>
          <w:sz w:val="22"/>
          <w:szCs w:val="22"/>
          <w:u w:val="single"/>
          <w:lang w:val="en-US" w:eastAsia="zh-CN"/>
        </w:rPr>
        <w:t xml:space="preserve">                          </w:t>
      </w:r>
      <w:r>
        <w:rPr>
          <w:rFonts w:hint="eastAsia" w:ascii="仿宋_GB2312" w:hAnsi="仿宋_GB2312" w:eastAsia="仿宋_GB2312" w:cs="仿宋_GB2312"/>
          <w:color w:val="000000"/>
          <w:sz w:val="22"/>
          <w:szCs w:val="22"/>
        </w:rPr>
        <w:t xml:space="preserve"> </w:t>
      </w:r>
    </w:p>
    <w:p>
      <w:pPr>
        <w:keepNext w:val="0"/>
        <w:keepLines w:val="0"/>
        <w:pageBreakBefore w:val="0"/>
        <w:kinsoku/>
        <w:wordWrap w:val="0"/>
        <w:overflowPunct/>
        <w:topLine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为规范项目管理，全面履约，保证对业主各项承诺的兑现，在确保工期、质量、安全文明施工、标准化管理等目标管理的基础上，使该工程取得预期经济、社会效益，在乙方仔细阅读并自愿接受甲方与业主签订的《建设工程施工合同》（以下简称“业主合同”）条款内容约束的基础上，</w:t>
      </w:r>
      <w:r>
        <w:rPr>
          <w:rFonts w:hint="eastAsia" w:ascii="仿宋_GB2312" w:hAnsi="仿宋_GB2312" w:eastAsia="仿宋_GB2312" w:cs="仿宋_GB2312"/>
          <w:color w:val="000000"/>
          <w:sz w:val="22"/>
          <w:szCs w:val="22"/>
        </w:rPr>
        <w:t>根据《中华人民共和国合同法》、《中华人民共和国建筑法》及有关法律规定，遵循平等、自愿、公平和诚实信用的原则，双方就</w:t>
      </w:r>
      <w:r>
        <w:rPr>
          <w:rFonts w:hint="eastAsia" w:ascii="仿宋_GB2312" w:hAnsi="仿宋_GB2312" w:eastAsia="仿宋_GB2312" w:cs="仿宋_GB2312"/>
          <w:color w:val="000000"/>
          <w:sz w:val="22"/>
          <w:szCs w:val="22"/>
          <w:u w:val="single"/>
          <w:lang w:val="en-US" w:eastAsia="zh-CN"/>
        </w:rPr>
        <w:t xml:space="preserve">                 </w:t>
      </w:r>
      <w:r>
        <w:rPr>
          <w:rFonts w:hint="eastAsia" w:ascii="仿宋_GB2312" w:hAnsi="仿宋_GB2312" w:eastAsia="仿宋_GB2312" w:cs="仿宋_GB2312"/>
          <w:color w:val="000000"/>
          <w:sz w:val="22"/>
          <w:szCs w:val="22"/>
        </w:rPr>
        <w:t>施工及有关事项协商一致，共同达成如下协议：</w:t>
      </w:r>
    </w:p>
    <w:p>
      <w:pPr>
        <w:keepNext w:val="0"/>
        <w:keepLines w:val="0"/>
        <w:pageBreakBefore w:val="0"/>
        <w:kinsoku/>
        <w:overflowPunct/>
        <w:bidi w:val="0"/>
        <w:spacing w:line="400" w:lineRule="exact"/>
        <w:ind w:firstLine="442" w:firstLineChars="200"/>
        <w:textAlignment w:val="auto"/>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1.项目基本情况</w:t>
      </w:r>
    </w:p>
    <w:p>
      <w:pPr>
        <w:keepNext w:val="0"/>
        <w:keepLines w:val="0"/>
        <w:pageBreakBefore w:val="0"/>
        <w:kinsoku/>
        <w:overflowPunct/>
        <w:bidi w:val="0"/>
        <w:spacing w:line="400" w:lineRule="exact"/>
        <w:ind w:left="2178" w:leftChars="304" w:hanging="1540" w:hangingChars="7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1.1项目名称：</w:t>
      </w:r>
      <w:r>
        <w:rPr>
          <w:rFonts w:hint="eastAsia" w:ascii="仿宋_GB2312" w:hAnsi="仿宋_GB2312" w:eastAsia="仿宋_GB2312" w:cs="仿宋_GB2312"/>
          <w:color w:val="000000"/>
          <w:sz w:val="22"/>
          <w:szCs w:val="22"/>
          <w:u w:val="single"/>
        </w:rPr>
        <w:t xml:space="preserve"> </w:t>
      </w:r>
      <w:r>
        <w:rPr>
          <w:rFonts w:ascii="仿宋_GB2312" w:hAnsi="仿宋_GB2312" w:eastAsia="仿宋_GB2312" w:cs="仿宋_GB2312"/>
          <w:color w:val="000000"/>
          <w:sz w:val="22"/>
          <w:szCs w:val="22"/>
          <w:u w:val="single"/>
        </w:rPr>
        <w:t xml:space="preserve">      </w:t>
      </w:r>
      <w:r>
        <w:rPr>
          <w:rFonts w:hint="eastAsia" w:ascii="仿宋_GB2312" w:hAnsi="仿宋_GB2312" w:eastAsia="仿宋_GB2312" w:cs="仿宋_GB2312"/>
          <w:color w:val="000000"/>
          <w:sz w:val="22"/>
          <w:szCs w:val="22"/>
          <w:u w:val="single"/>
          <w:lang w:val="en-US" w:eastAsia="zh-CN"/>
        </w:rPr>
        <w:t xml:space="preserve">     </w:t>
      </w:r>
      <w:r>
        <w:rPr>
          <w:rFonts w:ascii="仿宋_GB2312" w:hAnsi="仿宋_GB2312" w:eastAsia="仿宋_GB2312" w:cs="仿宋_GB2312"/>
          <w:color w:val="000000"/>
          <w:sz w:val="22"/>
          <w:szCs w:val="22"/>
          <w:u w:val="single"/>
        </w:rPr>
        <w:t xml:space="preserve">  </w:t>
      </w:r>
      <w:r>
        <w:rPr>
          <w:rFonts w:hint="eastAsia" w:ascii="仿宋_GB2312" w:hAnsi="仿宋_GB2312" w:eastAsia="仿宋_GB2312" w:cs="仿宋_GB2312"/>
          <w:color w:val="000000"/>
          <w:sz w:val="22"/>
          <w:szCs w:val="22"/>
          <w:u w:val="single"/>
          <w:lang w:val="en-US" w:eastAsia="zh-CN"/>
        </w:rPr>
        <w:t xml:space="preserve">       </w:t>
      </w:r>
      <w:r>
        <w:rPr>
          <w:rFonts w:ascii="仿宋_GB2312" w:hAnsi="仿宋_GB2312" w:eastAsia="仿宋_GB2312" w:cs="仿宋_GB2312"/>
          <w:color w:val="000000"/>
          <w:sz w:val="22"/>
          <w:szCs w:val="22"/>
          <w:u w:val="single"/>
        </w:rPr>
        <w:t xml:space="preserve">        </w:t>
      </w:r>
      <w:r>
        <w:rPr>
          <w:rFonts w:hint="eastAsia" w:ascii="仿宋_GB2312" w:hAnsi="仿宋_GB2312" w:eastAsia="仿宋_GB2312" w:cs="仿宋_GB2312"/>
          <w:color w:val="000000"/>
          <w:sz w:val="22"/>
          <w:szCs w:val="22"/>
          <w:u w:val="single"/>
          <w:lang w:val="en-US" w:eastAsia="zh-CN"/>
        </w:rPr>
        <w:t xml:space="preserve">   </w:t>
      </w:r>
      <w:r>
        <w:rPr>
          <w:rFonts w:ascii="仿宋_GB2312" w:hAnsi="仿宋_GB2312" w:eastAsia="仿宋_GB2312" w:cs="仿宋_GB2312"/>
          <w:color w:val="000000"/>
          <w:sz w:val="22"/>
          <w:szCs w:val="22"/>
          <w:u w:val="single"/>
        </w:rPr>
        <w:t xml:space="preserve">        </w:t>
      </w:r>
    </w:p>
    <w:p>
      <w:pPr>
        <w:keepNext w:val="0"/>
        <w:keepLines w:val="0"/>
        <w:pageBreakBefore w:val="0"/>
        <w:kinsoku/>
        <w:overflowPunct/>
        <w:bidi w:val="0"/>
        <w:spacing w:line="400" w:lineRule="exact"/>
        <w:textAlignment w:val="auto"/>
        <w:rPr>
          <w:rFonts w:ascii="仿宋_GB2312" w:hAnsi="仿宋_GB2312" w:eastAsia="仿宋_GB2312" w:cs="仿宋_GB2312"/>
          <w:sz w:val="22"/>
          <w:szCs w:val="22"/>
          <w:u w:val="single"/>
        </w:rPr>
      </w:pPr>
      <w:r>
        <w:rPr>
          <w:rFonts w:hint="eastAsia" w:ascii="仿宋_GB2312" w:hAnsi="仿宋_GB2312" w:eastAsia="仿宋_GB2312" w:cs="仿宋_GB2312"/>
          <w:sz w:val="22"/>
          <w:szCs w:val="22"/>
        </w:rPr>
        <w:t xml:space="preserve">   </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rPr>
        <w:t>1.2工程地点：</w:t>
      </w:r>
      <w:r>
        <w:rPr>
          <w:rFonts w:hint="eastAsia" w:ascii="仿宋_GB2312" w:hAnsi="仿宋_GB2312" w:eastAsia="仿宋_GB2312" w:cs="仿宋_GB2312"/>
          <w:color w:val="000000"/>
          <w:sz w:val="22"/>
          <w:szCs w:val="22"/>
          <w:u w:val="single"/>
          <w:lang w:val="en-US" w:eastAsia="zh-CN"/>
        </w:rPr>
        <w:t xml:space="preserve">                   </w:t>
      </w:r>
      <w:r>
        <w:rPr>
          <w:rFonts w:hint="eastAsia" w:ascii="仿宋_GB2312" w:hAnsi="仿宋_GB2312" w:eastAsia="仿宋_GB2312" w:cs="仿宋_GB2312"/>
          <w:color w:val="000000"/>
          <w:sz w:val="22"/>
          <w:szCs w:val="22"/>
          <w:u w:val="single"/>
        </w:rPr>
        <w:t xml:space="preserve"> </w:t>
      </w:r>
      <w:r>
        <w:rPr>
          <w:rFonts w:ascii="仿宋_GB2312" w:hAnsi="仿宋_GB2312" w:eastAsia="仿宋_GB2312" w:cs="仿宋_GB2312"/>
          <w:color w:val="000000"/>
          <w:sz w:val="22"/>
          <w:szCs w:val="22"/>
          <w:u w:val="single"/>
        </w:rPr>
        <w:t xml:space="preserve">          </w:t>
      </w:r>
      <w:r>
        <w:rPr>
          <w:rFonts w:hint="eastAsia" w:ascii="仿宋_GB2312" w:hAnsi="仿宋_GB2312" w:eastAsia="仿宋_GB2312" w:cs="仿宋_GB2312"/>
          <w:color w:val="000000"/>
          <w:sz w:val="22"/>
          <w:szCs w:val="22"/>
          <w:u w:val="single"/>
          <w:lang w:val="en-US" w:eastAsia="zh-CN"/>
        </w:rPr>
        <w:t xml:space="preserve">   </w:t>
      </w:r>
      <w:r>
        <w:rPr>
          <w:rFonts w:ascii="仿宋_GB2312" w:hAnsi="仿宋_GB2312" w:eastAsia="仿宋_GB2312" w:cs="仿宋_GB2312"/>
          <w:color w:val="000000"/>
          <w:sz w:val="22"/>
          <w:szCs w:val="22"/>
          <w:u w:val="single"/>
        </w:rPr>
        <w:t xml:space="preserve">      </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1.3合同工期：</w:t>
      </w:r>
      <w:r>
        <w:rPr>
          <w:rFonts w:hint="eastAsia" w:ascii="仿宋_GB2312" w:hAnsi="仿宋_GB2312" w:eastAsia="仿宋_GB2312" w:cs="仿宋_GB2312"/>
          <w:sz w:val="22"/>
          <w:szCs w:val="22"/>
          <w:u w:val="single"/>
        </w:rPr>
        <w:t xml:space="preserve">  </w:t>
      </w:r>
      <w:r>
        <w:rPr>
          <w:rFonts w:hint="eastAsia" w:ascii="仿宋_GB2312" w:hAnsi="仿宋_GB2312" w:eastAsia="仿宋_GB2312" w:cs="仿宋_GB2312"/>
          <w:b/>
          <w:sz w:val="22"/>
          <w:szCs w:val="22"/>
          <w:u w:val="single"/>
          <w:lang w:val="en-US" w:eastAsia="zh-CN"/>
        </w:rPr>
        <w:t xml:space="preserve">    </w:t>
      </w:r>
      <w:r>
        <w:rPr>
          <w:rFonts w:hint="eastAsia" w:ascii="仿宋_GB2312" w:hAnsi="仿宋_GB2312" w:eastAsia="仿宋_GB2312" w:cs="仿宋_GB2312"/>
          <w:sz w:val="22"/>
          <w:szCs w:val="22"/>
          <w:u w:val="single"/>
        </w:rPr>
        <w:t xml:space="preserve">                </w:t>
      </w:r>
      <w:r>
        <w:rPr>
          <w:rFonts w:ascii="仿宋_GB2312" w:hAnsi="仿宋_GB2312" w:eastAsia="仿宋_GB2312" w:cs="仿宋_GB2312"/>
          <w:sz w:val="22"/>
          <w:szCs w:val="22"/>
          <w:u w:val="single"/>
        </w:rPr>
        <w:t xml:space="preserve">   </w:t>
      </w:r>
      <w:r>
        <w:rPr>
          <w:rFonts w:hint="eastAsia" w:ascii="仿宋_GB2312" w:hAnsi="仿宋_GB2312" w:eastAsia="仿宋_GB2312" w:cs="仿宋_GB2312"/>
          <w:sz w:val="22"/>
          <w:szCs w:val="22"/>
          <w:u w:val="single"/>
        </w:rPr>
        <w:t xml:space="preserve">  </w:t>
      </w:r>
      <w:r>
        <w:rPr>
          <w:rFonts w:ascii="仿宋_GB2312" w:hAnsi="仿宋_GB2312" w:eastAsia="仿宋_GB2312" w:cs="仿宋_GB2312"/>
          <w:sz w:val="22"/>
          <w:szCs w:val="22"/>
          <w:u w:val="single"/>
        </w:rPr>
        <w:t xml:space="preserve">  </w:t>
      </w:r>
      <w:r>
        <w:rPr>
          <w:rFonts w:hint="eastAsia" w:ascii="仿宋_GB2312" w:hAnsi="仿宋_GB2312" w:eastAsia="仿宋_GB2312" w:cs="仿宋_GB2312"/>
          <w:sz w:val="22"/>
          <w:szCs w:val="22"/>
          <w:u w:val="single"/>
          <w:lang w:val="en-US" w:eastAsia="zh-CN"/>
        </w:rPr>
        <w:t xml:space="preserve">   </w:t>
      </w:r>
      <w:r>
        <w:rPr>
          <w:rFonts w:ascii="仿宋_GB2312" w:hAnsi="仿宋_GB2312" w:eastAsia="仿宋_GB2312" w:cs="仿宋_GB2312"/>
          <w:sz w:val="22"/>
          <w:szCs w:val="22"/>
          <w:u w:val="single"/>
        </w:rPr>
        <w:t xml:space="preserve">      </w:t>
      </w:r>
      <w:r>
        <w:rPr>
          <w:rFonts w:hint="eastAsia" w:ascii="仿宋_GB2312" w:hAnsi="仿宋_GB2312" w:eastAsia="仿宋_GB2312" w:cs="仿宋_GB2312"/>
          <w:sz w:val="22"/>
          <w:szCs w:val="22"/>
          <w:u w:val="single"/>
        </w:rPr>
        <w:t xml:space="preserve">  </w:t>
      </w:r>
    </w:p>
    <w:p>
      <w:pPr>
        <w:keepNext w:val="0"/>
        <w:keepLines w:val="0"/>
        <w:pageBreakBefore w:val="0"/>
        <w:kinsoku/>
        <w:overflowPunct/>
        <w:bidi w:val="0"/>
        <w:spacing w:line="400" w:lineRule="exact"/>
        <w:textAlignment w:val="auto"/>
        <w:rPr>
          <w:rFonts w:ascii="仿宋_GB2312" w:hAnsi="仿宋_GB2312" w:eastAsia="仿宋_GB2312" w:cs="仿宋_GB2312"/>
          <w:sz w:val="21"/>
          <w:szCs w:val="21"/>
          <w:u w:val="single"/>
        </w:rPr>
      </w:pPr>
      <w:r>
        <w:rPr>
          <w:rFonts w:hint="eastAsia" w:ascii="仿宋_GB2312" w:hAnsi="仿宋_GB2312" w:eastAsia="仿宋_GB2312" w:cs="仿宋_GB2312"/>
          <w:sz w:val="22"/>
          <w:szCs w:val="22"/>
        </w:rPr>
        <w:t xml:space="preserve">    1.4签约合同价：</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u w:val="single"/>
        </w:rPr>
        <w:t xml:space="preserve"> </w:t>
      </w:r>
      <w:r>
        <w:rPr>
          <w:rFonts w:ascii="仿宋_GB2312" w:hAnsi="仿宋_GB2312" w:eastAsia="仿宋_GB2312" w:cs="仿宋_GB2312"/>
          <w:sz w:val="22"/>
          <w:szCs w:val="22"/>
          <w:u w:val="single"/>
        </w:rPr>
        <w:t xml:space="preserve">                                               </w:t>
      </w:r>
      <w:r>
        <w:rPr>
          <w:rFonts w:hint="eastAsia" w:ascii="仿宋_GB2312" w:hAnsi="仿宋_GB2312" w:eastAsia="仿宋_GB2312" w:cs="仿宋_GB2312"/>
          <w:sz w:val="21"/>
          <w:szCs w:val="21"/>
          <w:u w:val="single"/>
        </w:rPr>
        <w:t xml:space="preserve">  </w:t>
      </w:r>
    </w:p>
    <w:p>
      <w:pPr>
        <w:pStyle w:val="10"/>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440" w:firstLineChars="200"/>
        <w:textAlignment w:val="auto"/>
        <w:rPr>
          <w:rFonts w:hint="eastAsia" w:ascii="仿宋_GB2312" w:hAnsi="仿宋_GB2312" w:eastAsia="仿宋_GB2312" w:cs="仿宋_GB2312"/>
          <w:color w:val="000000"/>
          <w:kern w:val="2"/>
          <w:sz w:val="22"/>
          <w:szCs w:val="22"/>
          <w:u w:val="single"/>
          <w:lang w:val="en-US" w:eastAsia="zh-CN" w:bidi="ar-SA"/>
        </w:rPr>
      </w:pPr>
      <w:r>
        <w:rPr>
          <w:rFonts w:hint="eastAsia" w:ascii="仿宋_GB2312" w:hAnsi="仿宋_GB2312" w:eastAsia="仿宋_GB2312" w:cs="仿宋_GB2312"/>
          <w:sz w:val="22"/>
          <w:szCs w:val="22"/>
        </w:rPr>
        <w:t>1.5工程质量标准：</w:t>
      </w:r>
      <w:r>
        <w:rPr>
          <w:rFonts w:hint="eastAsia" w:ascii="仿宋_GB2312" w:hAnsi="仿宋_GB2312" w:eastAsia="仿宋_GB2312" w:cs="仿宋_GB2312"/>
          <w:color w:val="000000"/>
          <w:kern w:val="2"/>
          <w:sz w:val="22"/>
          <w:szCs w:val="22"/>
          <w:u w:val="single"/>
          <w:lang w:val="en-US" w:eastAsia="zh-CN" w:bidi="ar-SA"/>
        </w:rPr>
        <w:t xml:space="preserve"> 合格</w:t>
      </w:r>
    </w:p>
    <w:p>
      <w:pPr>
        <w:keepNext w:val="0"/>
        <w:keepLines w:val="0"/>
        <w:pageBreakBefore w:val="0"/>
        <w:numPr>
          <w:ilvl w:val="0"/>
          <w:numId w:val="11"/>
        </w:numPr>
        <w:kinsoku/>
        <w:overflowPunct/>
        <w:bidi w:val="0"/>
        <w:spacing w:line="400" w:lineRule="exact"/>
        <w:ind w:firstLine="442" w:firstLineChars="200"/>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bCs/>
          <w:color w:val="000000"/>
          <w:sz w:val="22"/>
          <w:szCs w:val="22"/>
        </w:rPr>
        <w:t>合作方式</w:t>
      </w:r>
    </w:p>
    <w:p>
      <w:pPr>
        <w:keepNext w:val="0"/>
        <w:keepLines w:val="0"/>
        <w:pageBreakBefore w:val="0"/>
        <w:widowControl/>
        <w:suppressLineNumbers w:val="0"/>
        <w:kinsoku/>
        <w:overflowPunct/>
        <w:bidi w:val="0"/>
        <w:spacing w:line="400" w:lineRule="exact"/>
        <w:ind w:firstLine="440" w:firstLineChars="200"/>
        <w:jc w:val="left"/>
        <w:textAlignment w:val="auto"/>
        <w:rPr>
          <w:rFonts w:hint="default" w:ascii="仿宋_GB2312" w:hAnsi="仿宋_GB2312" w:eastAsia="仿宋_GB2312" w:cs="仿宋_GB2312"/>
          <w:sz w:val="22"/>
          <w:szCs w:val="22"/>
          <w:u w:val="single"/>
          <w:lang w:val="en-US"/>
        </w:rPr>
      </w:pPr>
      <w:r>
        <w:rPr>
          <w:rFonts w:hint="eastAsia" w:ascii="仿宋_GB2312" w:hAnsi="仿宋_GB2312" w:eastAsia="仿宋_GB2312" w:cs="仿宋_GB2312"/>
          <w:kern w:val="2"/>
          <w:sz w:val="22"/>
          <w:szCs w:val="22"/>
          <w:lang w:val="en-US" w:eastAsia="zh-CN" w:bidi="ar-SA"/>
        </w:rPr>
        <w:t>2.1合同模</w:t>
      </w:r>
      <w:r>
        <w:rPr>
          <w:rFonts w:hint="eastAsia" w:ascii="仿宋_GB2312" w:hAnsi="仿宋_GB2312" w:eastAsia="仿宋_GB2312" w:cs="仿宋_GB2312"/>
          <w:sz w:val="22"/>
          <w:szCs w:val="22"/>
          <w:lang w:val="en-US" w:eastAsia="zh-CN"/>
        </w:rPr>
        <w:t>式：</w:t>
      </w:r>
      <w:r>
        <w:rPr>
          <w:rFonts w:hint="eastAsia" w:ascii="仿宋_GB2312" w:hAnsi="仿宋_GB2312" w:eastAsia="仿宋_GB2312" w:cs="仿宋_GB2312"/>
          <w:sz w:val="22"/>
          <w:szCs w:val="22"/>
          <w:u w:val="single"/>
          <w:lang w:val="en-US" w:eastAsia="zh-CN"/>
        </w:rPr>
        <w:t>单价合同</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2.2合同文件构成</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本协议书与下列文件一起构成合同文件：</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（1）本合同及附件（含合同谈判中的澄清文件(若有）、农民工工资及时支付承诺函、安全生产管理协议书、工程质量保修书等）； </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（2）甲方与业主签订的合同文件及</w:t>
      </w:r>
      <w:r>
        <w:rPr>
          <w:rFonts w:hint="default" w:ascii="仿宋_GB2312" w:hAnsi="仿宋_GB2312" w:eastAsia="仿宋_GB2312" w:cs="仿宋_GB2312"/>
          <w:sz w:val="22"/>
          <w:szCs w:val="22"/>
        </w:rPr>
        <w:t>有关文件（若多份文件相同内容有不一致处，以有利于甲方的内容为准）</w:t>
      </w:r>
      <w:r>
        <w:rPr>
          <w:rFonts w:hint="eastAsia" w:ascii="仿宋_GB2312" w:hAnsi="仿宋_GB2312" w:eastAsia="仿宋_GB2312" w:cs="仿宋_GB2312"/>
          <w:sz w:val="22"/>
          <w:szCs w:val="22"/>
        </w:rPr>
        <w:t>；</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（3）甲方的各项规章制度以及施工期间发出的所有指示和指令；</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（4）相关技术规范、技术标准。当本合同适用的技术规范、技术标准更新时同时更新并应用于本项目；</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（5）图纸；</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（6）</w:t>
      </w:r>
      <w:r>
        <w:rPr>
          <w:rFonts w:hint="eastAsia" w:ascii="仿宋_GB2312" w:hAnsi="仿宋_GB2312" w:eastAsia="仿宋_GB2312" w:cs="仿宋_GB2312"/>
          <w:sz w:val="22"/>
          <w:szCs w:val="22"/>
          <w:lang w:eastAsia="zh-CN"/>
        </w:rPr>
        <w:t>专业分包</w:t>
      </w:r>
      <w:r>
        <w:rPr>
          <w:rFonts w:hint="eastAsia" w:ascii="仿宋_GB2312" w:hAnsi="仿宋_GB2312" w:eastAsia="仿宋_GB2312" w:cs="仿宋_GB2312"/>
          <w:sz w:val="22"/>
          <w:szCs w:val="22"/>
        </w:rPr>
        <w:t>工程量清单及报价；</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（7）其他合同文件。</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合同在执行过程中，业主、监理、甲方对工程质量、工艺、安全、环境等方面的书面通知和文件、要求及双方签约人的授权委托书均构成合同文件组成部分。上述各项合同文件包含当事人就该项合同文件所作出的补充和修改，属于同一类内容的文件，以最新签署的为准。</w:t>
      </w:r>
    </w:p>
    <w:p>
      <w:pPr>
        <w:keepNext w:val="0"/>
        <w:keepLines w:val="0"/>
        <w:pageBreakBefore w:val="0"/>
        <w:tabs>
          <w:tab w:val="center" w:pos="4153"/>
        </w:tabs>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3.甲、乙双方的权利及义务</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3.1</w:t>
      </w:r>
      <w:r>
        <w:rPr>
          <w:rFonts w:hint="eastAsia" w:ascii="仿宋_GB2312" w:hAnsi="仿宋_GB2312" w:eastAsia="仿宋_GB2312" w:cs="仿宋_GB2312"/>
          <w:color w:val="000000"/>
          <w:sz w:val="22"/>
          <w:szCs w:val="22"/>
        </w:rPr>
        <w:t>甲方的权利及义务</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3.1.</w:t>
      </w:r>
      <w:r>
        <w:rPr>
          <w:rFonts w:hint="eastAsia" w:ascii="仿宋_GB2312" w:hAnsi="仿宋_GB2312" w:eastAsia="仿宋_GB2312" w:cs="仿宋_GB2312"/>
          <w:color w:val="000000"/>
          <w:sz w:val="22"/>
          <w:szCs w:val="22"/>
        </w:rPr>
        <w:t>1派出项目经理等主要管理人员</w:t>
      </w:r>
      <w:r>
        <w:rPr>
          <w:rFonts w:hint="eastAsia" w:ascii="仿宋_GB2312" w:hAnsi="仿宋_GB2312" w:eastAsia="仿宋_GB2312" w:cs="仿宋_GB2312"/>
          <w:sz w:val="22"/>
          <w:szCs w:val="22"/>
        </w:rPr>
        <w:t>进行现场管理。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3.1.</w:t>
      </w:r>
      <w:r>
        <w:rPr>
          <w:rFonts w:hint="eastAsia" w:ascii="仿宋_GB2312" w:hAnsi="仿宋_GB2312" w:eastAsia="仿宋_GB2312" w:cs="仿宋_GB2312"/>
          <w:color w:val="000000"/>
          <w:sz w:val="22"/>
          <w:szCs w:val="22"/>
        </w:rPr>
        <w:t>2负责审查工程专项施工（安全）技术方案、施工管理规划、全面跟踪工程进度、质量技术、安全生产及合同履约工作。</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3.1.</w:t>
      </w:r>
      <w:r>
        <w:rPr>
          <w:rFonts w:hint="eastAsia" w:ascii="仿宋_GB2312" w:hAnsi="仿宋_GB2312" w:eastAsia="仿宋_GB2312" w:cs="仿宋_GB2312"/>
          <w:color w:val="000000"/>
          <w:sz w:val="22"/>
          <w:szCs w:val="22"/>
        </w:rPr>
        <w:t>3对不能满足业主要求的施工项目提出整改措施。</w:t>
      </w:r>
    </w:p>
    <w:p>
      <w:pPr>
        <w:keepNext w:val="0"/>
        <w:keepLines w:val="0"/>
        <w:pageBreakBefore w:val="0"/>
        <w:kinsoku/>
        <w:overflowPunct/>
        <w:bidi w:val="0"/>
        <w:spacing w:line="400" w:lineRule="exact"/>
        <w:ind w:left="319" w:leftChars="152" w:firstLine="220" w:firstLineChars="100"/>
        <w:textAlignment w:val="auto"/>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rPr>
        <w:t>3.1.</w:t>
      </w:r>
      <w:r>
        <w:rPr>
          <w:rFonts w:hint="eastAsia" w:ascii="仿宋_GB2312" w:hAnsi="仿宋_GB2312" w:eastAsia="仿宋_GB2312" w:cs="仿宋_GB2312"/>
          <w:color w:val="000000"/>
          <w:sz w:val="22"/>
          <w:szCs w:val="22"/>
        </w:rPr>
        <w:t>4协助乙方进行质量、安全技术交底。负责对乙方的安全生产进行监督、检查；对存在违章行为和事故隐患进行处罚，对安全隐患提出整改要求，对严重违章和存在的重大事故隐患有权要求停止作业。</w:t>
      </w:r>
    </w:p>
    <w:p>
      <w:pPr>
        <w:keepNext w:val="0"/>
        <w:keepLines w:val="0"/>
        <w:pageBreakBefore w:val="0"/>
        <w:kinsoku/>
        <w:overflowPunct/>
        <w:bidi w:val="0"/>
        <w:spacing w:line="400" w:lineRule="exact"/>
        <w:ind w:left="319" w:leftChars="152" w:firstLine="220" w:firstLineChars="100"/>
        <w:textAlignment w:val="auto"/>
        <w:rPr>
          <w:rFonts w:hint="default"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3.1.5</w:t>
      </w:r>
      <w:r>
        <w:rPr>
          <w:rFonts w:hint="eastAsia" w:ascii="仿宋_GB2312" w:hAnsi="仿宋_GB2312" w:eastAsia="仿宋_GB2312" w:cs="仿宋_GB2312"/>
          <w:color w:val="000000"/>
          <w:sz w:val="22"/>
          <w:szCs w:val="22"/>
        </w:rPr>
        <w:t>负责与业主、监理单位和设计单位、地方相关部门的接洽和联系，为施工创造良好的环境。</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color w:val="000000"/>
          <w:sz w:val="22"/>
          <w:szCs w:val="22"/>
        </w:rPr>
        <w:t>乙方权利和义务。</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3.2.1乙方服从并严格执行甲方《项目用工管理办法》、《财务管理办法》、《印章使用管理暂行办法》等各项规章制度。</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按业主有关要求组织施工,合理配置施工资源，优化施工方案，确保工程进度、工程质量及工程施工安全。</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涉及本项目的工程检验或试验，均由乙方负责现场取样、养护、送检等。超出工地中心试验室业务范围的外委试验由乙方负责。</w:t>
      </w:r>
    </w:p>
    <w:p>
      <w:pPr>
        <w:keepNext w:val="0"/>
        <w:keepLines w:val="0"/>
        <w:pageBreakBefore w:val="0"/>
        <w:tabs>
          <w:tab w:val="left" w:pos="700"/>
        </w:tabs>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乙方投入到本工程的所有机械进出场费、调遣费及临时设施费等一切费用均由乙方承担。</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严格按施工组织设计组织施工，保证工程质量符合施工技术规范和验收标准。一旦在施工中发生事故，应立即报告甲方，妥善处理，因事故引发的损失均由乙方自负。</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严格执行国家安全生产法规，设立安全组织机构和专职安全员，对所属人员进行安全管理、教育。施工期间，采取安全防护措施，保证安全生产、文明施工，维护甲方在本地区的信誉。</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7</w:t>
      </w:r>
      <w:r>
        <w:rPr>
          <w:rFonts w:hint="eastAsia" w:ascii="仿宋_GB2312" w:hAnsi="仿宋_GB2312" w:eastAsia="仿宋_GB2312" w:cs="仿宋_GB2312"/>
          <w:sz w:val="22"/>
          <w:szCs w:val="22"/>
        </w:rPr>
        <w:t>乙方负责地方相关部门的协调联系并应遵守当地的民风、民俗及相关法规。若发生纠纷，乙方应自行解决。</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kern w:val="0"/>
          <w:sz w:val="22"/>
          <w:szCs w:val="22"/>
          <w:lang w:val="zh-CN"/>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8</w:t>
      </w:r>
      <w:r>
        <w:rPr>
          <w:rFonts w:hint="eastAsia" w:ascii="仿宋_GB2312" w:hAnsi="仿宋_GB2312" w:eastAsia="仿宋_GB2312" w:cs="仿宋_GB2312"/>
          <w:kern w:val="0"/>
          <w:sz w:val="22"/>
          <w:szCs w:val="22"/>
          <w:lang w:val="zh-CN"/>
        </w:rPr>
        <w:t>乙方负责施工和生活用电用水、通信等，并承担全部费用。乙方现场自行装表上交水电费。</w:t>
      </w:r>
    </w:p>
    <w:p>
      <w:pPr>
        <w:pStyle w:val="8"/>
        <w:keepNext w:val="0"/>
        <w:keepLines w:val="0"/>
        <w:pageBreakBefore w:val="0"/>
        <w:kinsoku/>
        <w:overflowPunct/>
        <w:bidi w:val="0"/>
        <w:spacing w:line="400" w:lineRule="exact"/>
        <w:ind w:firstLine="431" w:firstLineChars="196"/>
        <w:textAlignment w:val="auto"/>
        <w:rPr>
          <w:rFonts w:ascii="仿宋_GB2312" w:hAnsi="仿宋_GB2312" w:eastAsia="仿宋_GB2312" w:cs="仿宋_GB2312"/>
          <w:color w:val="auto"/>
          <w:sz w:val="22"/>
          <w:szCs w:val="22"/>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9</w:t>
      </w:r>
      <w:r>
        <w:rPr>
          <w:rFonts w:hint="eastAsia" w:ascii="仿宋_GB2312" w:hAnsi="仿宋_GB2312" w:eastAsia="仿宋_GB2312" w:cs="仿宋_GB2312"/>
          <w:color w:val="auto"/>
          <w:sz w:val="22"/>
          <w:szCs w:val="22"/>
        </w:rPr>
        <w:t>乙方不得将分包的工程进行违法再分包。</w:t>
      </w:r>
    </w:p>
    <w:p>
      <w:pPr>
        <w:keepNext w:val="0"/>
        <w:keepLines w:val="0"/>
        <w:pageBreakBefore w:val="0"/>
        <w:kinsoku/>
        <w:overflowPunct/>
        <w:bidi w:val="0"/>
        <w:spacing w:line="400" w:lineRule="exact"/>
        <w:ind w:firstLine="440" w:firstLineChars="200"/>
        <w:textAlignment w:val="auto"/>
        <w:rPr>
          <w:rFonts w:hint="eastAsia" w:ascii="仿宋_GB2312" w:hAnsi="仿宋_GB2312" w:eastAsia="仿宋_GB2312" w:cs="仿宋_GB2312"/>
          <w:sz w:val="22"/>
          <w:szCs w:val="22"/>
          <w:lang w:val="zh-CN"/>
        </w:rPr>
      </w:pPr>
      <w:r>
        <w:rPr>
          <w:rFonts w:hint="eastAsia" w:ascii="仿宋_GB2312" w:hAnsi="仿宋_GB2312" w:eastAsia="仿宋_GB2312" w:cs="仿宋_GB2312"/>
          <w:sz w:val="22"/>
          <w:szCs w:val="22"/>
        </w:rPr>
        <w:t>3.2.</w:t>
      </w:r>
      <w:r>
        <w:rPr>
          <w:rFonts w:hint="eastAsia" w:ascii="仿宋_GB2312" w:hAnsi="仿宋_GB2312" w:eastAsia="仿宋_GB2312" w:cs="仿宋_GB2312"/>
          <w:sz w:val="22"/>
          <w:szCs w:val="22"/>
          <w:lang w:val="en-US" w:eastAsia="zh-CN"/>
        </w:rPr>
        <w:t>10</w:t>
      </w:r>
      <w:r>
        <w:rPr>
          <w:rFonts w:hint="eastAsia" w:ascii="仿宋_GB2312" w:hAnsi="仿宋_GB2312" w:eastAsia="仿宋_GB2312" w:cs="仿宋_GB2312"/>
          <w:sz w:val="22"/>
          <w:szCs w:val="22"/>
          <w:lang w:val="zh-CN"/>
        </w:rPr>
        <w:t>乙方在项目实施过程中应积极维护甲方的信誉，确保甲方信誉评价不低于A级且不低于项目实施前的信用等级，力争达到当地建设主管部门信用评定最高等级。</w:t>
      </w:r>
    </w:p>
    <w:p>
      <w:pPr>
        <w:keepNext w:val="0"/>
        <w:keepLines w:val="0"/>
        <w:pageBreakBefore w:val="0"/>
        <w:kinsoku/>
        <w:overflowPunct/>
        <w:bidi w:val="0"/>
        <w:spacing w:line="400" w:lineRule="exact"/>
        <w:ind w:firstLine="440" w:firstLineChars="200"/>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3.2.11 乙方现场管理人员需与投标文件所提供证件人员一致，如需人员更换，需向甲方申请更换，并提供具备相应资质得人员。施工过程中需有专职计量人员。</w:t>
      </w:r>
    </w:p>
    <w:p>
      <w:pPr>
        <w:keepNext w:val="0"/>
        <w:keepLines w:val="0"/>
        <w:pageBreakBefore w:val="0"/>
        <w:kinsoku/>
        <w:overflowPunct/>
        <w:bidi w:val="0"/>
        <w:spacing w:line="400" w:lineRule="exact"/>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3.2.12 乙方需提供项目办公所需要的办公设备。</w:t>
      </w:r>
    </w:p>
    <w:p>
      <w:pPr>
        <w:keepNext w:val="0"/>
        <w:keepLines w:val="0"/>
        <w:pageBreakBefore w:val="0"/>
        <w:kinsoku/>
        <w:overflowPunct/>
        <w:bidi w:val="0"/>
        <w:spacing w:line="400" w:lineRule="exact"/>
        <w:ind w:firstLine="442" w:firstLineChars="200"/>
        <w:textAlignment w:val="auto"/>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4.项目管理的主要内容</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4.1乙方现场主要责任人员管理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4.1.1乙方主要责任人员的职责:领导、组织、协调、调配各施工</w:t>
      </w:r>
      <w:r>
        <w:rPr>
          <w:rFonts w:hint="eastAsia" w:ascii="仿宋_GB2312" w:hAnsi="仿宋_GB2312" w:eastAsia="仿宋_GB2312" w:cs="仿宋_GB2312"/>
          <w:sz w:val="22"/>
          <w:szCs w:val="22"/>
          <w:lang w:val="en-US" w:eastAsia="zh-CN"/>
        </w:rPr>
        <w:t>班组</w:t>
      </w:r>
      <w:r>
        <w:rPr>
          <w:rFonts w:hint="eastAsia" w:ascii="仿宋_GB2312" w:hAnsi="仿宋_GB2312" w:eastAsia="仿宋_GB2312" w:cs="仿宋_GB2312"/>
          <w:sz w:val="22"/>
          <w:szCs w:val="22"/>
        </w:rPr>
        <w:t>，科学配置各项目施工资源,合理组织；按照业主和甲方制定的安全生产目标、进度计划、质量指标完成施工任务。</w:t>
      </w:r>
    </w:p>
    <w:p>
      <w:pPr>
        <w:keepNext w:val="0"/>
        <w:keepLines w:val="0"/>
        <w:pageBreakBefore w:val="0"/>
        <w:kinsoku/>
        <w:overflowPunct/>
        <w:bidi w:val="0"/>
        <w:spacing w:line="40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为保证项目顺利实施，合同约定的乙方主要责任人员（投标书中报送的人员配备及承诺）必须坚持在施工现场，且每月在现场工作日不得低于26天。乙方主要责任人离开项目前应安排好施工生产，并取得甲方的同意。</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4.1.2乙方配置项目</w:t>
      </w:r>
      <w:r>
        <w:rPr>
          <w:rFonts w:hint="eastAsia" w:ascii="仿宋_GB2312" w:hAnsi="仿宋_GB2312" w:eastAsia="仿宋_GB2312" w:cs="仿宋_GB2312"/>
          <w:color w:val="000000" w:themeColor="text1"/>
          <w:sz w:val="22"/>
          <w:szCs w:val="22"/>
          <w14:textFill>
            <w14:solidFill>
              <w14:schemeClr w14:val="tx1"/>
            </w14:solidFill>
          </w14:textFill>
        </w:rPr>
        <w:t>管理班子</w:t>
      </w:r>
      <w:r>
        <w:rPr>
          <w:rFonts w:hint="eastAsia" w:ascii="仿宋_GB2312" w:hAnsi="仿宋_GB2312" w:eastAsia="仿宋_GB2312" w:cs="仿宋_GB2312"/>
          <w:sz w:val="22"/>
          <w:szCs w:val="22"/>
        </w:rPr>
        <w:t>人员须满足业主</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甲方</w:t>
      </w:r>
      <w:r>
        <w:rPr>
          <w:rFonts w:hint="eastAsia" w:ascii="仿宋_GB2312" w:hAnsi="仿宋_GB2312" w:eastAsia="仿宋_GB2312" w:cs="仿宋_GB2312"/>
          <w:sz w:val="22"/>
          <w:szCs w:val="22"/>
        </w:rPr>
        <w:t>履约要求。如因乙方人员不满足业主</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甲方</w:t>
      </w:r>
      <w:r>
        <w:rPr>
          <w:rFonts w:hint="eastAsia" w:ascii="仿宋_GB2312" w:hAnsi="仿宋_GB2312" w:eastAsia="仿宋_GB2312" w:cs="仿宋_GB2312"/>
          <w:sz w:val="22"/>
          <w:szCs w:val="22"/>
        </w:rPr>
        <w:t>要求，</w:t>
      </w:r>
      <w:r>
        <w:rPr>
          <w:rFonts w:hint="eastAsia" w:ascii="仿宋_GB2312" w:hAnsi="仿宋_GB2312" w:eastAsia="仿宋_GB2312" w:cs="仿宋_GB2312"/>
          <w:sz w:val="22"/>
          <w:szCs w:val="22"/>
          <w:lang w:val="en-US" w:eastAsia="zh-CN"/>
        </w:rPr>
        <w:t>更换项目经理</w:t>
      </w:r>
      <w:r>
        <w:rPr>
          <w:rFonts w:hint="eastAsia" w:ascii="仿宋_GB2312" w:hAnsi="仿宋_GB2312" w:eastAsia="仿宋_GB2312" w:cs="仿宋_GB2312"/>
          <w:sz w:val="22"/>
          <w:szCs w:val="22"/>
        </w:rPr>
        <w:t>需向甲方支付违约金</w:t>
      </w:r>
      <w:r>
        <w:rPr>
          <w:rFonts w:hint="eastAsia" w:ascii="仿宋_GB2312" w:hAnsi="仿宋_GB2312" w:eastAsia="仿宋_GB2312" w:cs="仿宋_GB2312"/>
          <w:sz w:val="22"/>
          <w:szCs w:val="22"/>
          <w:lang w:val="en-US" w:eastAsia="zh-CN"/>
        </w:rPr>
        <w:t>10万元，更换项目管理人</w:t>
      </w:r>
      <w:r>
        <w:rPr>
          <w:rFonts w:hint="eastAsia" w:ascii="仿宋_GB2312" w:hAnsi="仿宋_GB2312" w:eastAsia="仿宋_GB2312" w:cs="仿宋_GB2312"/>
          <w:sz w:val="22"/>
          <w:szCs w:val="22"/>
        </w:rPr>
        <w:t>需向甲方支付违约金</w:t>
      </w:r>
      <w:r>
        <w:rPr>
          <w:rFonts w:hint="eastAsia" w:ascii="仿宋_GB2312" w:hAnsi="仿宋_GB2312" w:eastAsia="仿宋_GB2312" w:cs="仿宋_GB2312"/>
          <w:sz w:val="22"/>
          <w:szCs w:val="22"/>
          <w:lang w:val="en-US" w:eastAsia="zh-CN"/>
        </w:rPr>
        <w:t>5万元</w:t>
      </w:r>
      <w:r>
        <w:rPr>
          <w:rFonts w:hint="eastAsia" w:ascii="仿宋_GB2312" w:hAnsi="仿宋_GB2312" w:eastAsia="仿宋_GB2312" w:cs="仿宋_GB2312"/>
          <w:sz w:val="22"/>
          <w:szCs w:val="22"/>
        </w:rPr>
        <w:t>。乙方未经甲方同意不得更换主要责任人员，主要责任人员如不能积极履行乙方义务，甲方有权要求乙方及时调整，如乙方拒不调整，甲方有权解除本合同，因此发生的费用由乙方承担。</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bCs/>
          <w:sz w:val="22"/>
          <w:szCs w:val="22"/>
        </w:rPr>
      </w:pPr>
      <w:r>
        <w:rPr>
          <w:rFonts w:hint="eastAsia" w:ascii="仿宋_GB2312" w:hAnsi="仿宋_GB2312" w:eastAsia="仿宋_GB2312" w:cs="仿宋_GB2312"/>
          <w:bCs/>
          <w:sz w:val="22"/>
          <w:szCs w:val="22"/>
        </w:rPr>
        <w:t>4.2甲方现场主要履约人员管理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4.2.</w:t>
      </w:r>
      <w:r>
        <w:rPr>
          <w:rFonts w:hint="eastAsia" w:ascii="仿宋_GB2312" w:hAnsi="仿宋_GB2312" w:eastAsia="仿宋_GB2312" w:cs="仿宋_GB2312"/>
          <w:bCs/>
          <w:kern w:val="0"/>
          <w:sz w:val="22"/>
          <w:szCs w:val="22"/>
        </w:rPr>
        <w:t>1</w:t>
      </w:r>
      <w:r>
        <w:rPr>
          <w:rFonts w:hint="eastAsia" w:ascii="仿宋_GB2312" w:hAnsi="仿宋_GB2312" w:eastAsia="仿宋_GB2312" w:cs="仿宋_GB2312"/>
          <w:sz w:val="22"/>
          <w:szCs w:val="22"/>
        </w:rPr>
        <w:t>甲方管理团队的职责：负责与业主的沟通和协调，办理工程结算；对乙方施工的进度、质量、安全、劳务等进行全面督促管理。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bCs/>
          <w:sz w:val="22"/>
          <w:szCs w:val="22"/>
        </w:rPr>
      </w:pPr>
      <w:r>
        <w:rPr>
          <w:rFonts w:hint="eastAsia" w:ascii="仿宋_GB2312" w:hAnsi="仿宋_GB2312" w:eastAsia="仿宋_GB2312" w:cs="仿宋_GB2312"/>
          <w:bCs/>
          <w:sz w:val="22"/>
          <w:szCs w:val="22"/>
        </w:rPr>
        <w:t>4.3工程进度管理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4.3.1进度（包括阶段性工期）需以业主合同文件及实施过程中工期要求等相关文件为准。甲方有权视总体进度情况，要求乙方加大人员、材料、机械的投入，乙方必须无条件执行。乙方拒不接受的，甲方有权直接安排人员和设备实施，发生的费用从乙方应得款项中扣除，人工费按300元/人/天计，材料、机械单价按市场信息价计算，并收取所需费用20%的现场管理费。</w:t>
      </w:r>
    </w:p>
    <w:p>
      <w:pPr>
        <w:pStyle w:val="8"/>
        <w:keepNext w:val="0"/>
        <w:keepLines w:val="0"/>
        <w:pageBreakBefore w:val="0"/>
        <w:tabs>
          <w:tab w:val="left" w:pos="5790"/>
        </w:tabs>
        <w:kinsoku/>
        <w:overflowPunct/>
        <w:bidi w:val="0"/>
        <w:spacing w:line="400" w:lineRule="exact"/>
        <w:ind w:firstLine="431" w:firstLineChars="196"/>
        <w:textAlignment w:val="auto"/>
        <w:rPr>
          <w:rFonts w:ascii="仿宋_GB2312" w:hAnsi="仿宋_GB2312" w:eastAsia="仿宋_GB2312" w:cs="仿宋_GB2312"/>
          <w:color w:val="auto"/>
          <w:sz w:val="22"/>
          <w:szCs w:val="22"/>
        </w:rPr>
      </w:pPr>
      <w:r>
        <w:rPr>
          <w:rFonts w:hint="eastAsia" w:ascii="仿宋_GB2312" w:hAnsi="仿宋_GB2312" w:eastAsia="仿宋_GB2312" w:cs="仿宋_GB2312"/>
          <w:sz w:val="22"/>
          <w:szCs w:val="22"/>
        </w:rPr>
        <w:t>4.3.2</w:t>
      </w:r>
      <w:r>
        <w:rPr>
          <w:rFonts w:hint="eastAsia" w:ascii="仿宋_GB2312" w:hAnsi="仿宋_GB2312" w:eastAsia="仿宋_GB2312" w:cs="仿宋_GB2312"/>
          <w:sz w:val="22"/>
          <w:szCs w:val="22"/>
          <w:lang w:val="en-US"/>
        </w:rPr>
        <w:t xml:space="preserve"> </w:t>
      </w:r>
      <w:r>
        <w:rPr>
          <w:rFonts w:hint="eastAsia" w:ascii="仿宋_GB2312" w:hAnsi="仿宋_GB2312" w:eastAsia="仿宋_GB2312" w:cs="仿宋_GB2312"/>
          <w:sz w:val="22"/>
          <w:szCs w:val="22"/>
        </w:rPr>
        <w:t>乙方应按照业主合同要求制定施工总体进度计划、月进度计划，并确保整</w:t>
      </w:r>
      <w:r>
        <w:rPr>
          <w:rFonts w:hint="eastAsia" w:ascii="仿宋_GB2312" w:hAnsi="仿宋_GB2312" w:eastAsia="仿宋_GB2312" w:cs="仿宋_GB2312"/>
          <w:color w:val="auto"/>
          <w:sz w:val="22"/>
          <w:szCs w:val="22"/>
        </w:rPr>
        <w:t>体进度计划的落实。进度计划编制完毕后，应及时提交甲方项目管理部进行审核。</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4.3.３乙方应按业主要求满足现场需要。若乙方不能按甲方要求导致影响施工进度的，乙方需向甲方支付业主合同文件约定的逾期交工违约金。</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4.3.4乙方负责其施工范围的地方协调工作，在施工期间发生的涉及地方纠纷和阻工造成的经济损失由乙方承担。在乙方无法协调解决影响项目进度时，甲方有权直接协调，在协调中需要支付赔偿或补偿款时，乙方应无条件接受，从工程结算款中直接扣除，乙方不得以此为由怠工、鼓动地方及施工队伍闹事阻碍施工；否则，乙方应按5000元/天标准向甲方支付违约金，甲方并有权解除合同。</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4.3.5乙方应合理安排时间，争取提前完成工作任务。若乙方进度达不到甲方或业主要求，业主向甲方主张逾期交工违约责任的，所有费用由乙方承担，甲方承担违约责任后有权向乙方追偿或者直接在乙方工程款中予以扣除。施工过程中，乙方月实际进度较计划进度累计延滞超过</w:t>
      </w:r>
      <w:r>
        <w:rPr>
          <w:rFonts w:hint="eastAsia" w:ascii="仿宋_GB2312" w:hAnsi="仿宋_GB2312" w:eastAsia="仿宋_GB2312" w:cs="仿宋_GB2312"/>
          <w:sz w:val="22"/>
          <w:szCs w:val="22"/>
          <w:u w:val="single"/>
        </w:rPr>
        <w:t>10</w:t>
      </w:r>
      <w:r>
        <w:rPr>
          <w:rFonts w:hint="eastAsia" w:ascii="仿宋_GB2312" w:hAnsi="仿宋_GB2312" w:eastAsia="仿宋_GB2312" w:cs="仿宋_GB2312"/>
          <w:sz w:val="22"/>
          <w:szCs w:val="22"/>
        </w:rPr>
        <w:t>天时，应向甲方书面解释延滞原因，报整改计划，采取行之有效的挽救措施。累计延滞超过</w:t>
      </w:r>
      <w:r>
        <w:rPr>
          <w:rFonts w:hint="eastAsia" w:ascii="仿宋_GB2312" w:hAnsi="仿宋_GB2312" w:eastAsia="仿宋_GB2312" w:cs="仿宋_GB2312"/>
          <w:sz w:val="22"/>
          <w:szCs w:val="22"/>
          <w:u w:val="single"/>
        </w:rPr>
        <w:t>20</w:t>
      </w:r>
      <w:r>
        <w:rPr>
          <w:rFonts w:hint="eastAsia" w:ascii="仿宋_GB2312" w:hAnsi="仿宋_GB2312" w:eastAsia="仿宋_GB2312" w:cs="仿宋_GB2312"/>
          <w:sz w:val="22"/>
          <w:szCs w:val="22"/>
        </w:rPr>
        <w:t>天时，甲方有权解除本合同，乙方应配合撤场和结算等善后工作，已完工程量按报价7</w:t>
      </w:r>
      <w:r>
        <w:rPr>
          <w:rFonts w:ascii="仿宋_GB2312" w:hAnsi="仿宋_GB2312" w:eastAsia="仿宋_GB2312" w:cs="仿宋_GB2312"/>
          <w:sz w:val="22"/>
          <w:szCs w:val="22"/>
        </w:rPr>
        <w:t>0%</w:t>
      </w:r>
      <w:r>
        <w:rPr>
          <w:rFonts w:hint="eastAsia" w:ascii="仿宋_GB2312" w:hAnsi="仿宋_GB2312" w:eastAsia="仿宋_GB2312" w:cs="仿宋_GB2312"/>
          <w:sz w:val="22"/>
          <w:szCs w:val="22"/>
        </w:rPr>
        <w:t>结算，乙方接受对此没有任何异议。</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4.3.</w:t>
      </w:r>
      <w:r>
        <w:rPr>
          <w:rFonts w:hint="eastAsia" w:ascii="仿宋_GB2312" w:hAnsi="仿宋_GB2312" w:eastAsia="仿宋_GB2312" w:cs="仿宋_GB2312"/>
          <w:color w:val="000000"/>
          <w:sz w:val="22"/>
          <w:szCs w:val="22"/>
        </w:rPr>
        <w:t xml:space="preserve">6 </w:t>
      </w:r>
      <w:r>
        <w:rPr>
          <w:rFonts w:hint="eastAsia" w:ascii="仿宋_GB2312" w:hAnsi="仿宋_GB2312" w:eastAsia="仿宋_GB2312" w:cs="仿宋_GB2312"/>
          <w:sz w:val="22"/>
          <w:szCs w:val="22"/>
        </w:rPr>
        <w:t>如业主要求提前竣工，乙方接到通知后应遵照执行。发生的赶工费用，经业主同意并支付后，甲方按本合同约定的支付办法予以支付；如业主不支付赶工费用的，乙方不得向甲方主张。</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4.3.7 乙方应充分考虑因不可抗拒的自然灾害和工程款不到位、图纸资料延误以及设计变更等可能引起乙方停工、窝工的风险，因此而发生的乙方人员、设备等误工费用均由乙方承担。</w:t>
      </w:r>
      <w:r>
        <w:rPr>
          <w:rFonts w:hint="eastAsia" w:ascii="仿宋_GB2312" w:hAnsi="仿宋_GB2312" w:eastAsia="仿宋_GB2312" w:cs="仿宋_GB2312"/>
          <w:sz w:val="22"/>
          <w:szCs w:val="22"/>
          <w:u w:val="single"/>
        </w:rPr>
        <w:t>乙方有权依据业主合同文件及时收集有关资料，以甲方名义向业主主张工期索赔和费用索赔，甲方应予以配合，向业主主张权利发生的费用由乙方承担。</w:t>
      </w:r>
      <w:r>
        <w:rPr>
          <w:rFonts w:hint="eastAsia" w:ascii="仿宋_GB2312" w:hAnsi="仿宋_GB2312" w:eastAsia="仿宋_GB2312" w:cs="仿宋_GB2312"/>
          <w:sz w:val="22"/>
          <w:szCs w:val="22"/>
        </w:rPr>
        <w:t>如业主不同意补偿费用和工期顺延，乙方不得向甲方主张补偿或工期顺延权利。</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sz w:val="22"/>
          <w:szCs w:val="22"/>
        </w:rPr>
        <w:t>4.4</w:t>
      </w:r>
      <w:r>
        <w:rPr>
          <w:rFonts w:hint="eastAsia" w:ascii="仿宋_GB2312" w:hAnsi="仿宋_GB2312" w:eastAsia="仿宋_GB2312" w:cs="仿宋_GB2312"/>
          <w:color w:val="000000"/>
          <w:sz w:val="22"/>
          <w:szCs w:val="22"/>
        </w:rPr>
        <w:t>工程质量管理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4.4.1质量标准：执行行业主管部门颁发的质量标准，并无条件地执行业主和甲方签订的合同规定的质量标准、规范及业主、监理、甲方为了保证本项目工程质量和要求而执行的其他技术标准、规范。</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4.4.2本项目工程的质量目标为：a.分项工程合格率100%；b.确保竣工验收达到</w:t>
      </w:r>
      <w:r>
        <w:rPr>
          <w:rFonts w:hint="eastAsia" w:ascii="仿宋_GB2312" w:hAnsi="仿宋_GB2312" w:eastAsia="仿宋_GB2312" w:cs="仿宋_GB2312"/>
          <w:sz w:val="22"/>
          <w:szCs w:val="22"/>
          <w:u w:val="single"/>
        </w:rPr>
        <w:t>合格</w:t>
      </w:r>
      <w:r>
        <w:rPr>
          <w:rFonts w:hint="eastAsia" w:ascii="仿宋_GB2312" w:hAnsi="仿宋_GB2312" w:eastAsia="仿宋_GB2312" w:cs="仿宋_GB2312"/>
          <w:sz w:val="22"/>
          <w:szCs w:val="22"/>
        </w:rPr>
        <w:t>工程；c.无质量安全责任事故。乙方不能实现质量目标时，甲方有权扣除乙方的质量保证金。</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4.4.3乙方始终对所承包的工程质量安全负责，并将现场技术人员</w:t>
      </w:r>
      <w:r>
        <w:rPr>
          <w:rFonts w:hint="eastAsia" w:ascii="仿宋_GB2312" w:hAnsi="仿宋_GB2312" w:eastAsia="仿宋_GB2312" w:cs="仿宋_GB2312"/>
          <w:color w:val="000000" w:themeColor="text1"/>
          <w:sz w:val="22"/>
          <w:szCs w:val="22"/>
          <w14:textFill>
            <w14:solidFill>
              <w14:schemeClr w14:val="tx1"/>
            </w14:solidFill>
          </w14:textFill>
        </w:rPr>
        <w:t>及专职质检员</w:t>
      </w:r>
      <w:r>
        <w:rPr>
          <w:rFonts w:hint="eastAsia" w:ascii="仿宋_GB2312" w:hAnsi="仿宋_GB2312" w:eastAsia="仿宋_GB2312" w:cs="仿宋_GB2312"/>
          <w:sz w:val="22"/>
          <w:szCs w:val="22"/>
        </w:rPr>
        <w:t>、安全员报甲方。</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4.4.4乙方在施工过程中，严格按照技术规范进行施工。每道工序完成后，应自行检测，并将检测结果报甲方，接受甲方的抽检，并经监理工程师检测，合格后方可进行下一道工序。由于乙方不按技术规范和质量要求进行施工，工程质量达不到标准，甲方派驻人员和监理工程师有权责令其停工、返工，由此造成的损失由乙方承担。</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4.4.5乙方必须按国家规范要求服从业主、监理工程师、甲方的质量管理。接受业主、监理工程师与甲方的检查，并执行业主、监理及甲方下达的工作指令。乙方应积极配合、支持业主、监理及甲方的检查、监督，所发生的费用由乙方负责。对乙方拒绝执行业主、监理或甲方工作指令的，乙方每次应向甲方支付</w:t>
      </w:r>
      <w:r>
        <w:rPr>
          <w:rFonts w:hint="eastAsia" w:ascii="仿宋_GB2312" w:hAnsi="仿宋_GB2312" w:eastAsia="仿宋_GB2312" w:cs="仿宋_GB2312"/>
          <w:sz w:val="22"/>
          <w:szCs w:val="22"/>
          <w:u w:val="single"/>
        </w:rPr>
        <w:t xml:space="preserve"> 5000 </w:t>
      </w:r>
      <w:r>
        <w:rPr>
          <w:rFonts w:hint="eastAsia" w:ascii="仿宋_GB2312" w:hAnsi="仿宋_GB2312" w:eastAsia="仿宋_GB2312" w:cs="仿宋_GB2312"/>
          <w:sz w:val="22"/>
          <w:szCs w:val="22"/>
        </w:rPr>
        <w:t>元的违约金。</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4.4.6乙方在实施过程中质量得不到保证，并被业主或监理累计通报达到两次的，甲方有权单方解除合同，并全面接管或另行组织队伍施工，由此造成的损失由乙方承担。</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bCs/>
          <w:color w:val="000000"/>
          <w:sz w:val="22"/>
          <w:szCs w:val="22"/>
        </w:rPr>
      </w:pPr>
      <w:r>
        <w:rPr>
          <w:rFonts w:hint="eastAsia" w:ascii="仿宋_GB2312" w:hAnsi="仿宋_GB2312" w:eastAsia="仿宋_GB2312" w:cs="仿宋_GB2312"/>
          <w:bCs/>
          <w:sz w:val="22"/>
          <w:szCs w:val="22"/>
        </w:rPr>
        <w:t>4.5</w:t>
      </w:r>
      <w:r>
        <w:rPr>
          <w:rFonts w:hint="eastAsia" w:ascii="仿宋_GB2312" w:hAnsi="仿宋_GB2312" w:eastAsia="仿宋_GB2312" w:cs="仿宋_GB2312"/>
          <w:bCs/>
          <w:color w:val="000000"/>
          <w:sz w:val="22"/>
          <w:szCs w:val="22"/>
        </w:rPr>
        <w:t>安全生产与文明施工管理</w:t>
      </w:r>
    </w:p>
    <w:p>
      <w:pPr>
        <w:keepNext w:val="0"/>
        <w:keepLines w:val="0"/>
        <w:pageBreakBefore w:val="0"/>
        <w:widowControl/>
        <w:kinsoku/>
        <w:overflowPunct/>
        <w:bidi w:val="0"/>
        <w:spacing w:line="400" w:lineRule="exact"/>
        <w:ind w:firstLine="440" w:firstLineChars="200"/>
        <w:jc w:val="left"/>
        <w:textAlignment w:val="auto"/>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4.5.1乙方应依据业主合同文件（询价文件）规定投保建筑工程一切险、第三者责任险以及工人意外伤害保险，保险费和其他相关费用由乙方承担。</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4.5.2乙方承担施工过程中发生的安全事故和意外事件所造成的一切经济损失（含财产损失和人身伤亡损害赔偿）。因乙方原因导致甲方被追究责任的，乙方承担所有经济损失。</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bCs/>
          <w:sz w:val="22"/>
          <w:szCs w:val="22"/>
        </w:rPr>
      </w:pPr>
      <w:r>
        <w:rPr>
          <w:rFonts w:hint="eastAsia" w:ascii="仿宋_GB2312" w:hAnsi="仿宋_GB2312" w:eastAsia="仿宋_GB2312" w:cs="仿宋_GB2312"/>
          <w:bCs/>
          <w:sz w:val="22"/>
          <w:szCs w:val="22"/>
        </w:rPr>
        <w:t>4.6项目劳务管理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4.6.1乙方劳务人员年龄段限制在男18—60周岁、女18—55周岁，身体健康，如果甲方发现有不符合年龄条件的，甲方有权直接予以清退，乙方承诺对此不提出任何异议。</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4.6.2乙方应严格执行农民工实名制管理相关规定，乙方用工必需签订合同明确报酬、发放标准，用工合同原件甲方核查留存复印件。乙方每月据实考核及时填报民工工资发放表，积极配合甲方做好民工工资发放的监控工作。</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乙方雇佣的劳务人员的劳动报酬应当及时足额支付，乙方不得以任何理由拖欠，应提前办妥手续委托甲方代为支付到用工人员工资卡。乙方未能及时委托特殊情况下甲方可根据情况对民工工资直接发放，乙方应积极予以配合和协助并无异议。如果劳务人员向甲方主张劳动报酬，乙方负责协调解决，解决不成由甲方处理，所发生一切费用均由乙方承担。</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b/>
          <w:bCs/>
          <w:sz w:val="22"/>
          <w:szCs w:val="22"/>
        </w:rPr>
      </w:pPr>
      <w:r>
        <w:rPr>
          <w:rFonts w:hint="eastAsia" w:ascii="仿宋_GB2312" w:hAnsi="仿宋_GB2312" w:eastAsia="仿宋_GB2312" w:cs="仿宋_GB2312"/>
          <w:sz w:val="22"/>
          <w:szCs w:val="22"/>
        </w:rPr>
        <w:t>用工合同、考勤表、工资发放表经核查每发现一人不属实或相关手续不齐全，每人次每项罚款5</w:t>
      </w:r>
      <w:r>
        <w:rPr>
          <w:rFonts w:ascii="仿宋_GB2312" w:hAnsi="仿宋_GB2312" w:eastAsia="仿宋_GB2312" w:cs="仿宋_GB2312"/>
          <w:sz w:val="22"/>
          <w:szCs w:val="22"/>
        </w:rPr>
        <w:t>00</w:t>
      </w:r>
      <w:r>
        <w:rPr>
          <w:rFonts w:hint="eastAsia" w:ascii="仿宋_GB2312" w:hAnsi="仿宋_GB2312" w:eastAsia="仿宋_GB2312" w:cs="仿宋_GB2312"/>
          <w:sz w:val="22"/>
          <w:szCs w:val="22"/>
        </w:rPr>
        <w:t>元，甲方有权从任何应付款中直接扣除，乙方无任何异议。</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bCs/>
          <w:sz w:val="22"/>
          <w:szCs w:val="22"/>
        </w:rPr>
      </w:pPr>
      <w:r>
        <w:rPr>
          <w:rFonts w:hint="eastAsia" w:ascii="仿宋_GB2312" w:hAnsi="仿宋_GB2312" w:eastAsia="仿宋_GB2312" w:cs="仿宋_GB2312"/>
          <w:bCs/>
          <w:sz w:val="22"/>
          <w:szCs w:val="22"/>
        </w:rPr>
        <w:t>4.7项目资金管理</w:t>
      </w:r>
    </w:p>
    <w:p>
      <w:pPr>
        <w:keepNext w:val="0"/>
        <w:keepLines w:val="0"/>
        <w:pageBreakBefore w:val="0"/>
        <w:kinsoku/>
        <w:overflowPunct/>
        <w:bidi w:val="0"/>
        <w:spacing w:line="40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4.7.1按甲方财务制度办理相关业务并提供真实、合法、有效的支付凭证。发票抬头名称：安徽省经工建设集团有限公司，纳税识别码：91340000148953991G。若不符合财务制度要求的，甲方有权拒付。</w:t>
      </w:r>
    </w:p>
    <w:p>
      <w:pPr>
        <w:keepNext w:val="0"/>
        <w:keepLines w:val="0"/>
        <w:pageBreakBefore w:val="0"/>
        <w:kinsoku/>
        <w:overflowPunct/>
        <w:bidi w:val="0"/>
        <w:spacing w:line="400" w:lineRule="exact"/>
        <w:ind w:firstLine="440" w:firstLineChars="200"/>
        <w:textAlignment w:val="auto"/>
        <w:rPr>
          <w:sz w:val="16"/>
          <w:szCs w:val="20"/>
        </w:rPr>
      </w:pPr>
      <w:r>
        <w:rPr>
          <w:rFonts w:hint="eastAsia" w:ascii="仿宋_GB2312" w:hAnsi="仿宋_GB2312" w:eastAsia="仿宋_GB2312" w:cs="仿宋_GB2312"/>
          <w:sz w:val="22"/>
          <w:szCs w:val="22"/>
        </w:rPr>
        <w:t>工程项目资金（工程款）必须专款专用，不得挪作他用。乙方须按中标金额交纳工程款税金，计税办法依据《中华人民共和国增值税暂行条例》，税金的收取按工程进度款的请付同步计收，工程竣工后以决算金额一次结清（含尚欠工程款和扣留的保修金）。</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4.7.２关于付款的约定：</w:t>
      </w:r>
      <w:r>
        <w:rPr>
          <w:rFonts w:ascii="仿宋_GB2312" w:hAnsi="仿宋_GB2312" w:eastAsia="仿宋_GB2312" w:cs="仿宋_GB2312"/>
          <w:sz w:val="22"/>
          <w:szCs w:val="22"/>
        </w:rPr>
        <w:t xml:space="preserve"> </w:t>
      </w:r>
      <w:r>
        <w:rPr>
          <w:rFonts w:hint="eastAsia" w:ascii="仿宋_GB2312" w:hAnsi="仿宋_GB2312" w:eastAsia="仿宋_GB2312" w:cs="仿宋_GB2312"/>
          <w:sz w:val="22"/>
          <w:szCs w:val="22"/>
          <w:highlight w:val="yellow"/>
        </w:rPr>
        <w:t>（以下标准为暂定，施工合同签订后相应调整下列付款标准，且不得超过施工合同标准）</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ascii="仿宋_GB2312" w:hAnsi="仿宋_GB2312" w:eastAsia="仿宋_GB2312" w:cs="仿宋_GB2312"/>
          <w:sz w:val="22"/>
          <w:szCs w:val="22"/>
        </w:rPr>
        <w:t>工程款支付金额：</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（1）按月实际完成工程量结算，每月支付已完工程量的</w:t>
      </w:r>
    </w:p>
    <w:p>
      <w:pPr>
        <w:keepNext w:val="0"/>
        <w:keepLines w:val="0"/>
        <w:pageBreakBefore w:val="0"/>
        <w:kinsoku/>
        <w:overflowPunct/>
        <w:bidi w:val="0"/>
        <w:spacing w:line="400" w:lineRule="exac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75</w:t>
      </w:r>
      <w:r>
        <w:rPr>
          <w:rFonts w:hint="eastAsia" w:ascii="仿宋_GB2312" w:hAnsi="仿宋_GB2312" w:eastAsia="仿宋_GB2312" w:cs="仿宋_GB2312"/>
          <w:sz w:val="22"/>
          <w:szCs w:val="22"/>
        </w:rPr>
        <w:t xml:space="preserve">%；  </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（2）本工程竣工验收合格付款至已完工程量的 90%；</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（3）本工程竣工结算经造价咨询单位审核定案后付至工程结算款的97%，余下3%作为工程质保金；</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sz w:val="22"/>
          <w:szCs w:val="22"/>
        </w:rPr>
        <w:t>（4）</w:t>
      </w:r>
      <w:r>
        <w:rPr>
          <w:rFonts w:hint="eastAsia" w:ascii="仿宋_GB2312" w:hAnsi="仿宋_GB2312" w:eastAsia="仿宋_GB2312" w:cs="仿宋_GB2312"/>
          <w:color w:val="000000" w:themeColor="text1"/>
          <w:sz w:val="22"/>
          <w:szCs w:val="22"/>
          <w14:textFill>
            <w14:solidFill>
              <w14:schemeClr w14:val="tx1"/>
            </w14:solidFill>
          </w14:textFill>
        </w:rPr>
        <w:t>质保金：质量保修期自工程竣工验收合格并集中交付次月1日起计算，全部工程竣工验收合格并质保期满后无息结算2%（若有扣除，以扣除之后的金额为基数），剩余 1%（若有扣除，以扣除之后的金额为基数）乙方可凭甲方认可的质保卡或保函等有效手续提前支领，也可满五年后无质量问题且无违约情形再无息结算。</w:t>
      </w:r>
    </w:p>
    <w:p>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4.7.3进度款审核</w:t>
      </w:r>
      <w:r>
        <w:rPr>
          <w:rFonts w:ascii="仿宋_GB2312" w:hAnsi="仿宋_GB2312" w:eastAsia="仿宋_GB2312" w:cs="仿宋_GB2312"/>
          <w:sz w:val="22"/>
          <w:szCs w:val="22"/>
        </w:rPr>
        <w:t>和时间</w:t>
      </w:r>
    </w:p>
    <w:p>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乙方在达到支付节点当月的15日前报送进度款申请，甲方应在收到后10天内完成审批并签发进度款支付证书。甲方对进度付款申请单有异议的，有权要求乙方修正和提供补充资料，甲方在进度款支付证书签发（含修正后的）后次月15日前完成支付，承包人应在付款前提供等额合规的发票。甲方无正当理由逾期支付进度款的，应按照中国人民银行发布的同期同类存款基准利率支付违约金。在对已签发的进度款支付证书进行阶段汇总和复核中发现错误、遗漏或重复的，甲方有权在下期进度付款中支付或扣除,承包人不得以此为由拖延工期或使工程质量受影响。</w:t>
      </w:r>
    </w:p>
    <w:p>
      <w:pPr>
        <w:pStyle w:val="13"/>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ascii="仿宋_GB2312" w:hAnsi="仿宋_GB2312" w:eastAsia="仿宋_GB2312" w:cs="仿宋_GB2312"/>
          <w:color w:val="000000" w:themeColor="text1"/>
          <w:kern w:val="2"/>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4.7.4</w:t>
      </w:r>
      <w:r>
        <w:rPr>
          <w:rFonts w:hint="eastAsia" w:ascii="Adobe 仿宋 Std R" w:hAnsi="Adobe 仿宋 Std R" w:eastAsia="Adobe 仿宋 Std R"/>
          <w:b/>
          <w:color w:val="000000"/>
          <w:sz w:val="20"/>
          <w:szCs w:val="20"/>
        </w:rPr>
        <w:t xml:space="preserve"> </w:t>
      </w:r>
      <w:r>
        <w:rPr>
          <w:rFonts w:hint="eastAsia" w:ascii="仿宋_GB2312" w:hAnsi="仿宋_GB2312" w:eastAsia="仿宋_GB2312" w:cs="仿宋_GB2312"/>
          <w:color w:val="000000" w:themeColor="text1"/>
          <w:kern w:val="2"/>
          <w:sz w:val="22"/>
          <w:szCs w:val="22"/>
          <w14:textFill>
            <w14:solidFill>
              <w14:schemeClr w14:val="tx1"/>
            </w14:solidFill>
          </w14:textFill>
        </w:rPr>
        <w:t>竣工结算</w:t>
      </w:r>
    </w:p>
    <w:p>
      <w:pPr>
        <w:keepNext w:val="0"/>
        <w:keepLines w:val="0"/>
        <w:pageBreakBefore w:val="0"/>
        <w:kinsoku/>
        <w:overflowPunct/>
        <w:bidi w:val="0"/>
        <w:spacing w:line="400" w:lineRule="exact"/>
        <w:ind w:firstLine="550" w:firstLineChars="250"/>
        <w:jc w:val="left"/>
        <w:textAlignment w:val="auto"/>
        <w:rPr>
          <w:rFonts w:ascii="仿宋_GB2312" w:hAnsi="仿宋_GB2312" w:eastAsia="仿宋_GB2312" w:cs="仿宋_GB2312"/>
          <w:color w:val="000000" w:themeColor="text1"/>
          <w:sz w:val="22"/>
          <w:szCs w:val="22"/>
          <w:shd w:val="clear" w:color="FFFFFF" w:fill="D9D9D9"/>
          <w14:textFill>
            <w14:solidFill>
              <w14:schemeClr w14:val="tx1"/>
            </w14:solidFill>
          </w14:textFill>
        </w:rPr>
      </w:pPr>
      <w:r>
        <w:rPr>
          <w:rFonts w:hint="eastAsia" w:ascii="仿宋_GB2312" w:hAnsi="仿宋_GB2312" w:eastAsia="仿宋_GB2312" w:cs="仿宋_GB2312"/>
          <w:color w:val="000000" w:themeColor="text1"/>
          <w:sz w:val="22"/>
          <w:szCs w:val="22"/>
          <w:shd w:val="clear" w:color="FFFFFF" w:fill="D9D9D9"/>
          <w14:textFill>
            <w14:solidFill>
              <w14:schemeClr w14:val="tx1"/>
            </w14:solidFill>
          </w14:textFill>
        </w:rPr>
        <w:t>本工程竣工验收合格后</w:t>
      </w:r>
      <w:r>
        <w:rPr>
          <w:rFonts w:ascii="仿宋_GB2312" w:hAnsi="仿宋_GB2312" w:eastAsia="仿宋_GB2312" w:cs="仿宋_GB2312"/>
          <w:color w:val="000000" w:themeColor="text1"/>
          <w:sz w:val="22"/>
          <w:szCs w:val="22"/>
          <w:shd w:val="clear" w:color="FFFFFF" w:fill="D9D9D9"/>
          <w14:textFill>
            <w14:solidFill>
              <w14:schemeClr w14:val="tx1"/>
            </w14:solidFill>
          </w14:textFill>
        </w:rPr>
        <w:t>28</w:t>
      </w:r>
      <w:r>
        <w:rPr>
          <w:rFonts w:hint="eastAsia" w:ascii="仿宋_GB2312" w:hAnsi="仿宋_GB2312" w:eastAsia="仿宋_GB2312" w:cs="仿宋_GB2312"/>
          <w:color w:val="000000" w:themeColor="text1"/>
          <w:sz w:val="22"/>
          <w:szCs w:val="22"/>
          <w:shd w:val="clear" w:color="FFFFFF" w:fill="D9D9D9"/>
          <w14:textFill>
            <w14:solidFill>
              <w14:schemeClr w14:val="tx1"/>
            </w14:solidFill>
          </w14:textFill>
        </w:rPr>
        <w:t>天内乙方需提交完整的竣工</w:t>
      </w:r>
      <w:r>
        <w:rPr>
          <w:rFonts w:hint="eastAsia" w:ascii="仿宋_GB2312" w:hAnsi="仿宋_GB2312" w:eastAsia="仿宋_GB2312" w:cs="仿宋_GB2312"/>
          <w:color w:val="000000" w:themeColor="text1"/>
          <w:sz w:val="22"/>
          <w:szCs w:val="22"/>
          <w:shd w:val="clear" w:color="FFFFFF" w:fill="D9D9D9"/>
          <w:lang w:val="en-US" w:eastAsia="zh-CN"/>
          <w14:textFill>
            <w14:solidFill>
              <w14:schemeClr w14:val="tx1"/>
            </w14:solidFill>
          </w14:textFill>
        </w:rPr>
        <w:t>计量</w:t>
      </w:r>
      <w:r>
        <w:rPr>
          <w:rFonts w:hint="eastAsia" w:ascii="仿宋_GB2312" w:hAnsi="仿宋_GB2312" w:eastAsia="仿宋_GB2312" w:cs="仿宋_GB2312"/>
          <w:color w:val="000000" w:themeColor="text1"/>
          <w:sz w:val="22"/>
          <w:szCs w:val="22"/>
          <w:shd w:val="clear" w:color="FFFFFF" w:fill="D9D9D9"/>
          <w14:textFill>
            <w14:solidFill>
              <w14:schemeClr w14:val="tx1"/>
            </w14:solidFill>
          </w14:textFill>
        </w:rPr>
        <w:t>资料给甲方，甲方</w:t>
      </w:r>
      <w:r>
        <w:rPr>
          <w:rFonts w:ascii="仿宋_GB2312" w:hAnsi="仿宋_GB2312" w:eastAsia="仿宋_GB2312" w:cs="仿宋_GB2312"/>
          <w:color w:val="000000" w:themeColor="text1"/>
          <w:sz w:val="22"/>
          <w:szCs w:val="22"/>
          <w:shd w:val="clear" w:color="FFFFFF" w:fill="D9D9D9"/>
          <w14:textFill>
            <w14:solidFill>
              <w14:schemeClr w14:val="tx1"/>
            </w14:solidFill>
          </w14:textFill>
        </w:rPr>
        <w:t>收到竣工</w:t>
      </w:r>
      <w:r>
        <w:rPr>
          <w:rFonts w:hint="eastAsia" w:ascii="仿宋_GB2312" w:hAnsi="仿宋_GB2312" w:eastAsia="仿宋_GB2312" w:cs="仿宋_GB2312"/>
          <w:color w:val="000000" w:themeColor="text1"/>
          <w:sz w:val="22"/>
          <w:szCs w:val="22"/>
          <w:shd w:val="clear" w:color="FFFFFF" w:fill="D9D9D9"/>
          <w:lang w:val="en-US" w:eastAsia="zh-CN"/>
          <w14:textFill>
            <w14:solidFill>
              <w14:schemeClr w14:val="tx1"/>
            </w14:solidFill>
          </w14:textFill>
        </w:rPr>
        <w:t>计量</w:t>
      </w:r>
      <w:r>
        <w:rPr>
          <w:rFonts w:hint="eastAsia" w:ascii="仿宋_GB2312" w:hAnsi="仿宋_GB2312" w:eastAsia="仿宋_GB2312" w:cs="仿宋_GB2312"/>
          <w:color w:val="000000" w:themeColor="text1"/>
          <w:sz w:val="22"/>
          <w:szCs w:val="22"/>
          <w:shd w:val="clear" w:color="FFFFFF" w:fill="D9D9D9"/>
          <w14:textFill>
            <w14:solidFill>
              <w14:schemeClr w14:val="tx1"/>
            </w14:solidFill>
          </w14:textFill>
        </w:rPr>
        <w:t>资</w:t>
      </w:r>
      <w:r>
        <w:rPr>
          <w:rFonts w:ascii="仿宋_GB2312" w:hAnsi="仿宋_GB2312" w:eastAsia="仿宋_GB2312" w:cs="仿宋_GB2312"/>
          <w:color w:val="000000" w:themeColor="text1"/>
          <w:sz w:val="22"/>
          <w:szCs w:val="22"/>
          <w:shd w:val="clear" w:color="FFFFFF" w:fill="D9D9D9"/>
          <w14:textFill>
            <w14:solidFill>
              <w14:schemeClr w14:val="tx1"/>
            </w14:solidFill>
          </w14:textFill>
        </w:rPr>
        <w:t>料后</w:t>
      </w:r>
      <w:r>
        <w:rPr>
          <w:rFonts w:hint="eastAsia" w:ascii="仿宋_GB2312" w:hAnsi="仿宋_GB2312" w:eastAsia="仿宋_GB2312" w:cs="仿宋_GB2312"/>
          <w:color w:val="000000" w:themeColor="text1"/>
          <w:sz w:val="22"/>
          <w:szCs w:val="22"/>
          <w:shd w:val="clear" w:color="FFFFFF" w:fill="D9D9D9"/>
          <w14:textFill>
            <w14:solidFill>
              <w14:schemeClr w14:val="tx1"/>
            </w14:solidFill>
          </w14:textFill>
        </w:rPr>
        <w:t>60</w:t>
      </w:r>
      <w:r>
        <w:rPr>
          <w:rFonts w:ascii="仿宋_GB2312" w:hAnsi="仿宋_GB2312" w:eastAsia="仿宋_GB2312" w:cs="仿宋_GB2312"/>
          <w:color w:val="000000" w:themeColor="text1"/>
          <w:sz w:val="22"/>
          <w:szCs w:val="22"/>
          <w:shd w:val="clear" w:color="FFFFFF" w:fill="D9D9D9"/>
          <w14:textFill>
            <w14:solidFill>
              <w14:schemeClr w14:val="tx1"/>
            </w14:solidFill>
          </w14:textFill>
        </w:rPr>
        <w:t>天内完成核查并签发竣工付款证书。</w:t>
      </w:r>
    </w:p>
    <w:p>
      <w:pPr>
        <w:keepNext w:val="0"/>
        <w:keepLines w:val="0"/>
        <w:pageBreakBefore w:val="0"/>
        <w:kinsoku/>
        <w:overflowPunct/>
        <w:bidi w:val="0"/>
        <w:spacing w:line="400" w:lineRule="exact"/>
        <w:ind w:firstLine="550" w:firstLineChars="250"/>
        <w:jc w:val="left"/>
        <w:textAlignment w:val="auto"/>
        <w:rPr>
          <w:rFonts w:ascii="仿宋_GB2312" w:hAnsi="仿宋_GB2312" w:eastAsia="仿宋_GB2312" w:cs="仿宋_GB2312"/>
          <w:bCs/>
          <w:sz w:val="22"/>
          <w:szCs w:val="22"/>
        </w:rPr>
      </w:pPr>
      <w:r>
        <w:rPr>
          <w:rFonts w:hint="eastAsia" w:ascii="仿宋_GB2312" w:hAnsi="仿宋_GB2312" w:eastAsia="仿宋_GB2312" w:cs="仿宋_GB2312"/>
          <w:bCs/>
          <w:sz w:val="22"/>
          <w:szCs w:val="22"/>
        </w:rPr>
        <w:t>4.8项目文化建设</w:t>
      </w:r>
    </w:p>
    <w:p>
      <w:pPr>
        <w:keepNext w:val="0"/>
        <w:keepLines w:val="0"/>
        <w:pageBreakBefore w:val="0"/>
        <w:kinsoku/>
        <w:overflowPunct/>
        <w:bidi w:val="0"/>
        <w:adjustRightInd w:val="0"/>
        <w:snapToGrid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4.8.1乙方在项目实施期间，项目部门楼、场站、会议室、办公场所及等所有标识、标牌、图表等均应冠以</w:t>
      </w:r>
      <w:r>
        <w:rPr>
          <w:rFonts w:hint="eastAsia" w:ascii="仿宋_GB2312" w:hAnsi="仿宋_GB2312" w:eastAsia="仿宋_GB2312" w:cs="仿宋_GB2312"/>
          <w:sz w:val="22"/>
          <w:szCs w:val="22"/>
          <w:lang w:val="en-US" w:eastAsia="zh-CN"/>
        </w:rPr>
        <w:t>甲方名义出现</w:t>
      </w:r>
      <w:r>
        <w:rPr>
          <w:rFonts w:hint="eastAsia" w:ascii="仿宋_GB2312" w:hAnsi="仿宋_GB2312" w:eastAsia="仿宋_GB2312" w:cs="仿宋_GB2312"/>
          <w:sz w:val="22"/>
          <w:szCs w:val="22"/>
        </w:rPr>
        <w:t>，展现甲方企业文化，不得以乙方或其他单位名义出现。</w:t>
      </w:r>
    </w:p>
    <w:p>
      <w:pPr>
        <w:keepNext w:val="0"/>
        <w:keepLines w:val="0"/>
        <w:pageBreakBefore w:val="0"/>
        <w:kinsoku/>
        <w:overflowPunct/>
        <w:bidi w:val="0"/>
        <w:adjustRightInd w:val="0"/>
        <w:snapToGrid w:val="0"/>
        <w:spacing w:line="400" w:lineRule="exact"/>
        <w:ind w:firstLine="440" w:firstLineChars="200"/>
        <w:textAlignment w:val="auto"/>
        <w:rPr>
          <w:rFonts w:ascii="仿宋_GB2312" w:hAnsi="仿宋_GB2312" w:eastAsia="仿宋_GB2312" w:cs="仿宋_GB2312"/>
          <w:sz w:val="22"/>
          <w:szCs w:val="22"/>
          <w:highlight w:val="red"/>
          <w:u w:val="single"/>
        </w:rPr>
      </w:pPr>
      <w:r>
        <w:rPr>
          <w:rFonts w:hint="eastAsia" w:ascii="仿宋_GB2312" w:hAnsi="仿宋_GB2312" w:eastAsia="仿宋_GB2312" w:cs="仿宋_GB2312"/>
          <w:sz w:val="22"/>
          <w:szCs w:val="22"/>
        </w:rPr>
        <w:t>4.8.2因乙方在项目文化建设和宣传方面不执行甲方的规定，而因此被业主或其他部门追究责任或给甲方带来的损失后果由乙方承担。</w:t>
      </w:r>
    </w:p>
    <w:p>
      <w:pPr>
        <w:keepNext w:val="0"/>
        <w:keepLines w:val="0"/>
        <w:pageBreakBefore w:val="0"/>
        <w:kinsoku/>
        <w:overflowPunct/>
        <w:bidi w:val="0"/>
        <w:spacing w:line="400" w:lineRule="exact"/>
        <w:ind w:firstLine="442" w:firstLineChars="200"/>
        <w:textAlignment w:val="auto"/>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5.履约担保等费用</w:t>
      </w:r>
    </w:p>
    <w:p>
      <w:pPr>
        <w:pStyle w:val="5"/>
        <w:keepNext w:val="0"/>
        <w:keepLines w:val="0"/>
        <w:pageBreakBefore w:val="0"/>
        <w:kinsoku/>
        <w:overflowPunct/>
        <w:bidi w:val="0"/>
        <w:spacing w:line="400" w:lineRule="exact"/>
        <w:ind w:firstLine="440" w:firstLineChars="200"/>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5.1乙方应向甲方支付</w:t>
      </w:r>
      <w:r>
        <w:rPr>
          <w:rFonts w:hint="eastAsia" w:ascii="仿宋_GB2312" w:hAnsi="仿宋_GB2312" w:eastAsia="仿宋_GB2312" w:cs="仿宋_GB2312"/>
          <w:sz w:val="22"/>
          <w:szCs w:val="22"/>
          <w:u w:val="single"/>
        </w:rPr>
        <w:t xml:space="preserve"> </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u w:val="single"/>
        </w:rPr>
        <w:t xml:space="preserve"> </w:t>
      </w:r>
      <w:r>
        <w:rPr>
          <w:rFonts w:hint="eastAsia" w:ascii="仿宋_GB2312" w:hAnsi="仿宋_GB2312" w:eastAsia="仿宋_GB2312" w:cs="仿宋_GB2312"/>
          <w:sz w:val="22"/>
          <w:szCs w:val="22"/>
        </w:rPr>
        <w:t>的履约保证金，作为乙方履行本合同的担保。担保方式：</w:t>
      </w:r>
      <w:r>
        <w:rPr>
          <w:rFonts w:hint="eastAsia" w:ascii="仿宋_GB2312" w:hAnsi="仿宋_GB2312" w:eastAsia="仿宋_GB2312" w:cs="仿宋_GB2312"/>
          <w:sz w:val="22"/>
          <w:szCs w:val="22"/>
          <w:u w:val="single"/>
          <w:lang w:val="en-US" w:eastAsia="zh-CN"/>
        </w:rPr>
        <w:t xml:space="preserve">     </w:t>
      </w:r>
    </w:p>
    <w:p>
      <w:pPr>
        <w:keepNext w:val="0"/>
        <w:keepLines w:val="0"/>
        <w:pageBreakBefore w:val="0"/>
        <w:kinsoku/>
        <w:overflowPunct/>
        <w:bidi w:val="0"/>
        <w:adjustRightInd w:val="0"/>
        <w:snapToGrid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5.2在项目实施过程中，因乙方原因导致业主认定甲方违约、没收甲方保证金或要求甲方承担违约责任时，甲方有权以乙方交纳的履约保证金和相关款项支付，不足部分仍应由乙方承担，乙方在收到甲方付款通知7日内向甲方或直接向业主方支付。在前述情形下，乙方不得以任何理由向甲方主张返还保证金的权利。</w:t>
      </w:r>
    </w:p>
    <w:p>
      <w:pPr>
        <w:keepNext w:val="0"/>
        <w:keepLines w:val="0"/>
        <w:pageBreakBefore w:val="0"/>
        <w:kinsoku/>
        <w:overflowPunct/>
        <w:bidi w:val="0"/>
        <w:spacing w:line="400" w:lineRule="exact"/>
        <w:ind w:firstLine="442" w:firstLineChars="200"/>
        <w:textAlignment w:val="auto"/>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6、违约责任</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6.2.1乙方不得私刻甲方的印章，否则甲方将依法追究乙方的经济责任和刑事责任。</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6.2.2乙方施工现场管理混乱，不能满足业主、监理等管理单位有关工程进度、质量等方面的要求，致使业主、监理向甲方公司发函的，乙方除接受业主、监理的处罚外，每发生一次另行向甲方支付10000元违约金；由此造成业主约见甲方法定代表人或主要负责人的，每发生一次乙方向甲方支付5万元违约金。</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6.2.3因乙方原因导致本合同无法继续履行，乙方按未完成工程量总造价的20%向甲方支付违约金，甲方有权直接从乙方应得工程款中直接扣除，不足部分由乙方另行支付给甲方。</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highlight w:val="red"/>
        </w:rPr>
      </w:pPr>
      <w:r>
        <w:rPr>
          <w:rFonts w:hint="eastAsia" w:ascii="仿宋_GB2312" w:hAnsi="仿宋_GB2312" w:eastAsia="仿宋_GB2312" w:cs="仿宋_GB2312"/>
          <w:sz w:val="22"/>
          <w:szCs w:val="22"/>
        </w:rPr>
        <w:t>6.2.4若乙方交、竣工验收资料不完整或不满足甲方备案要求的，乙方除应及时提供符合备案要求的相关资料外，还应向甲方支付违约金5万元。</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6.2.5项目在履行过程中或结束后，因本项目乙方原因发生第三方与甲方的法律纠纷（含诉讼、仲裁等其他纠纷），乙方应协助甲方积极共同处理，因此产生的案件受理费、律师费、差旅费、住宿费和餐饮费等业务费用由乙方承担。</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6.2.6乙方拖欠民工工资，引发民工群体讨薪或上访的，甲方有权直接发放，费用直接从乙方应得工程款中扣除，所发生的一切费用由乙方承担。每发生一次群体讨薪或上访的，乙方向甲方支付违约金5万元（乙方民工工资按照集团公司项目用工管理办法执行）。由公司垫资解决的除处罚外另按公司财务规定加收项目利息。</w:t>
      </w:r>
    </w:p>
    <w:p>
      <w:pPr>
        <w:keepNext w:val="0"/>
        <w:keepLines w:val="0"/>
        <w:pageBreakBefore w:val="0"/>
        <w:kinsoku/>
        <w:overflowPunct/>
        <w:bidi w:val="0"/>
        <w:spacing w:line="400" w:lineRule="exact"/>
        <w:ind w:firstLine="442" w:firstLineChars="200"/>
        <w:textAlignment w:val="auto"/>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7</w:t>
      </w:r>
      <w:r>
        <w:rPr>
          <w:rFonts w:hint="eastAsia" w:ascii="仿宋_GB2312" w:hAnsi="仿宋_GB2312" w:eastAsia="仿宋_GB2312" w:cs="仿宋_GB2312"/>
          <w:b/>
          <w:bCs/>
          <w:sz w:val="22"/>
          <w:szCs w:val="22"/>
        </w:rPr>
        <w:t>.</w:t>
      </w:r>
      <w:r>
        <w:rPr>
          <w:rFonts w:hint="eastAsia" w:ascii="仿宋_GB2312" w:hAnsi="仿宋_GB2312" w:eastAsia="仿宋_GB2312" w:cs="仿宋_GB2312"/>
          <w:b/>
          <w:bCs/>
          <w:color w:val="000000"/>
          <w:sz w:val="22"/>
          <w:szCs w:val="22"/>
        </w:rPr>
        <w:t>合同解除</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7.1本工程出现下列情形之一时，甲方有权单方解除本合同：</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7.1.1乙方丧失民事行为能力，或其信用出现严重问题，或其经营管理能力明显不足，无法完成合作任务的；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u w:val="single"/>
        </w:rPr>
      </w:pPr>
      <w:r>
        <w:rPr>
          <w:rFonts w:hint="eastAsia" w:ascii="仿宋_GB2312" w:hAnsi="仿宋_GB2312" w:eastAsia="仿宋_GB2312" w:cs="仿宋_GB2312"/>
          <w:color w:val="000000"/>
          <w:sz w:val="22"/>
          <w:szCs w:val="22"/>
        </w:rPr>
        <w:t>7.1.2因乙方原因导致节点工期延误两个月以上且无纠偏措施的或乙方生产要素配量、工期进度、质量安全达不到甲方及业主的要求时，甲方及时提出书面整改意见，连续两次都达不到要求的；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u w:val="single"/>
        </w:rPr>
      </w:pPr>
      <w:r>
        <w:rPr>
          <w:rFonts w:hint="eastAsia" w:ascii="仿宋_GB2312" w:hAnsi="仿宋_GB2312" w:eastAsia="仿宋_GB2312" w:cs="仿宋_GB2312"/>
          <w:color w:val="000000"/>
          <w:sz w:val="22"/>
          <w:szCs w:val="22"/>
        </w:rPr>
        <w:t>7.1.3 施工过程中发生较大质量、安全事故的；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u w:val="single"/>
        </w:rPr>
      </w:pPr>
      <w:r>
        <w:rPr>
          <w:rFonts w:hint="eastAsia" w:ascii="仿宋_GB2312" w:hAnsi="仿宋_GB2312" w:eastAsia="仿宋_GB2312" w:cs="仿宋_GB2312"/>
          <w:color w:val="000000"/>
          <w:sz w:val="22"/>
          <w:szCs w:val="22"/>
        </w:rPr>
        <w:t>7.1.4施工过程中受到有关部门责令停工等处罚的；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7.1.5乙方或其聘用、提议聘用的工作人员有挪用、侵占本工程的资金、材料行为的；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7.1.6乙方未经甲方书面同意，私自刻制甲方印章、设立账户或擅自以甲方或项目部名义对外签订合同的；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7.1.7施工过程中发生重大诉讼、媒体曝光等给公司声誉造成重大负面影响的；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sz w:val="22"/>
          <w:szCs w:val="22"/>
          <w:u w:val="single"/>
        </w:rPr>
      </w:pPr>
      <w:r>
        <w:rPr>
          <w:rFonts w:hint="eastAsia" w:ascii="仿宋_GB2312" w:hAnsi="仿宋_GB2312" w:eastAsia="仿宋_GB2312" w:cs="仿宋_GB2312"/>
          <w:color w:val="000000"/>
          <w:sz w:val="22"/>
          <w:szCs w:val="22"/>
        </w:rPr>
        <w:t>7.1.8</w:t>
      </w:r>
      <w:r>
        <w:rPr>
          <w:rFonts w:hint="eastAsia" w:ascii="仿宋_GB2312" w:hAnsi="仿宋_GB2312" w:eastAsia="仿宋_GB2312" w:cs="仿宋_GB2312"/>
          <w:sz w:val="22"/>
          <w:szCs w:val="22"/>
        </w:rPr>
        <w:t>乙方有非法转包和违法分包行为的；</w:t>
      </w:r>
    </w:p>
    <w:p>
      <w:pPr>
        <w:keepNext w:val="0"/>
        <w:keepLines w:val="0"/>
        <w:pageBreakBefore w:val="0"/>
        <w:kinsoku/>
        <w:overflowPunct/>
        <w:bidi w:val="0"/>
        <w:spacing w:line="400" w:lineRule="exact"/>
        <w:ind w:firstLine="570"/>
        <w:textAlignment w:val="auto"/>
        <w:rPr>
          <w:rFonts w:ascii="仿宋_GB2312" w:hAnsi="仿宋_GB2312" w:eastAsia="仿宋_GB2312" w:cs="仿宋_GB2312"/>
          <w:color w:val="000000"/>
          <w:sz w:val="22"/>
          <w:szCs w:val="22"/>
          <w:u w:val="single"/>
        </w:rPr>
      </w:pPr>
      <w:r>
        <w:rPr>
          <w:rFonts w:hint="eastAsia" w:ascii="仿宋_GB2312" w:hAnsi="仿宋_GB2312" w:eastAsia="仿宋_GB2312" w:cs="仿宋_GB2312"/>
          <w:color w:val="000000"/>
          <w:sz w:val="22"/>
          <w:szCs w:val="22"/>
        </w:rPr>
        <w:t>7.1.</w:t>
      </w:r>
      <w:r>
        <w:rPr>
          <w:rFonts w:hint="eastAsia" w:ascii="仿宋_GB2312" w:hAnsi="仿宋_GB2312" w:eastAsia="仿宋_GB2312" w:cs="仿宋_GB2312"/>
          <w:sz w:val="22"/>
          <w:szCs w:val="22"/>
        </w:rPr>
        <w:t>9</w:t>
      </w:r>
      <w:r>
        <w:rPr>
          <w:rFonts w:hint="eastAsia" w:ascii="仿宋_GB2312" w:hAnsi="仿宋_GB2312" w:eastAsia="仿宋_GB2312" w:cs="仿宋_GB2312"/>
          <w:color w:val="000000"/>
          <w:sz w:val="22"/>
          <w:szCs w:val="22"/>
        </w:rPr>
        <w:t>乙方有转移或抽逃项目工程款，甲方要求整改拒不执行的。</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color w:val="000000"/>
          <w:sz w:val="22"/>
          <w:szCs w:val="22"/>
        </w:rPr>
        <w:t>乙方有</w:t>
      </w:r>
      <w:r>
        <w:rPr>
          <w:rFonts w:hint="eastAsia" w:ascii="仿宋_GB2312" w:hAnsi="仿宋_GB2312" w:eastAsia="仿宋_GB2312" w:cs="仿宋_GB2312"/>
          <w:sz w:val="22"/>
          <w:szCs w:val="22"/>
        </w:rPr>
        <w:t>上述情形的，甲方除可以单方解除合同外，还可以视情况，不予退还乙方向甲方缴纳的履约保证金。</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7.2甲方单方解除合同的，自甲方解除通知书到达之日起生效。</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color w:val="000000"/>
          <w:sz w:val="22"/>
          <w:szCs w:val="22"/>
        </w:rPr>
        <w:t>7.</w:t>
      </w:r>
      <w:r>
        <w:rPr>
          <w:rFonts w:hint="eastAsia" w:ascii="仿宋_GB2312" w:hAnsi="仿宋_GB2312" w:eastAsia="仿宋_GB2312" w:cs="仿宋_GB2312"/>
          <w:sz w:val="22"/>
          <w:szCs w:val="22"/>
        </w:rPr>
        <w:t>3合同解除后双方的义务。甲方暂停一切支付直至双方签订完善的撤场协议。乙方应当在收到甲方解除通知书7个工作日内主动与甲方办</w:t>
      </w:r>
      <w:r>
        <w:rPr>
          <w:rFonts w:hint="eastAsia" w:ascii="仿宋_GB2312" w:hAnsi="仿宋_GB2312" w:eastAsia="仿宋_GB2312" w:cs="仿宋_GB2312"/>
          <w:color w:val="000000"/>
          <w:sz w:val="22"/>
          <w:szCs w:val="22"/>
        </w:rPr>
        <w:t>理交接，并办理已完工程量确认、结算、财务往来对账、</w:t>
      </w:r>
      <w:r>
        <w:rPr>
          <w:rFonts w:hint="eastAsia" w:ascii="仿宋_GB2312" w:hAnsi="仿宋_GB2312" w:eastAsia="仿宋_GB2312" w:cs="仿宋_GB2312"/>
          <w:sz w:val="22"/>
          <w:szCs w:val="22"/>
        </w:rPr>
        <w:t>债权债务清理、工程交接等一切事务，甲方应积极配合。甲乙双方签订撤场协议，就乙方上述相关事宜达成协议。如乙方不愿签订协议，双方同意以甲方与业主的结算资料确认的工程数量为准，已完工程量按报价7</w:t>
      </w:r>
      <w:r>
        <w:rPr>
          <w:rFonts w:ascii="仿宋_GB2312" w:hAnsi="仿宋_GB2312" w:eastAsia="仿宋_GB2312" w:cs="仿宋_GB2312"/>
          <w:sz w:val="22"/>
          <w:szCs w:val="22"/>
        </w:rPr>
        <w:t>0%</w:t>
      </w:r>
      <w:r>
        <w:rPr>
          <w:rFonts w:hint="eastAsia" w:ascii="仿宋_GB2312" w:hAnsi="仿宋_GB2312" w:eastAsia="仿宋_GB2312" w:cs="仿宋_GB2312"/>
          <w:sz w:val="22"/>
          <w:szCs w:val="22"/>
        </w:rPr>
        <w:t>结算。</w:t>
      </w:r>
    </w:p>
    <w:p>
      <w:pPr>
        <w:keepNext w:val="0"/>
        <w:keepLines w:val="0"/>
        <w:pageBreakBefore w:val="0"/>
        <w:kinsoku/>
        <w:overflowPunct/>
        <w:bidi w:val="0"/>
        <w:spacing w:line="400" w:lineRule="exact"/>
        <w:ind w:firstLine="442" w:firstLineChars="200"/>
        <w:textAlignment w:val="auto"/>
        <w:rPr>
          <w:rFonts w:hint="default" w:ascii="仿宋_GB2312" w:hAnsi="仿宋_GB2312" w:eastAsia="仿宋_GB2312" w:cs="仿宋_GB2312"/>
          <w:b/>
          <w:color w:val="000000"/>
          <w:sz w:val="22"/>
          <w:szCs w:val="22"/>
          <w:lang w:val="en-US" w:eastAsia="zh-CN"/>
        </w:rPr>
      </w:pPr>
      <w:r>
        <w:rPr>
          <w:rFonts w:hint="eastAsia" w:ascii="仿宋_GB2312" w:hAnsi="仿宋_GB2312" w:eastAsia="仿宋_GB2312" w:cs="仿宋_GB2312"/>
          <w:b/>
          <w:color w:val="000000"/>
          <w:sz w:val="22"/>
          <w:szCs w:val="22"/>
        </w:rPr>
        <w:t>8.甲控</w:t>
      </w:r>
      <w:r>
        <w:rPr>
          <w:rFonts w:hint="eastAsia" w:ascii="仿宋_GB2312" w:hAnsi="仿宋_GB2312" w:eastAsia="仿宋_GB2312" w:cs="仿宋_GB2312"/>
          <w:b/>
          <w:color w:val="000000"/>
          <w:sz w:val="22"/>
          <w:szCs w:val="22"/>
          <w:lang w:eastAsia="zh-CN"/>
        </w:rPr>
        <w:t>、</w:t>
      </w:r>
      <w:r>
        <w:rPr>
          <w:rFonts w:hint="eastAsia" w:ascii="仿宋_GB2312" w:hAnsi="仿宋_GB2312" w:eastAsia="仿宋_GB2312" w:cs="仿宋_GB2312"/>
          <w:b/>
          <w:color w:val="000000"/>
          <w:sz w:val="22"/>
          <w:szCs w:val="22"/>
          <w:lang w:val="en-US" w:eastAsia="zh-CN"/>
        </w:rPr>
        <w:t>甲供材料</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8.1</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若有</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承包人采购的进场材料及其包装材料必须满足项目所在地区</w:t>
      </w:r>
      <w:r>
        <w:rPr>
          <w:rFonts w:hint="eastAsia" w:ascii="仿宋_GB2312" w:hAnsi="仿宋_GB2312" w:eastAsia="仿宋_GB2312" w:cs="仿宋_GB2312"/>
          <w:sz w:val="22"/>
          <w:szCs w:val="22"/>
          <w:lang w:val="en-US" w:eastAsia="zh-CN"/>
        </w:rPr>
        <w:t>有关</w:t>
      </w:r>
      <w:r>
        <w:rPr>
          <w:rFonts w:hint="eastAsia" w:ascii="仿宋_GB2312" w:hAnsi="仿宋_GB2312" w:eastAsia="仿宋_GB2312" w:cs="仿宋_GB2312"/>
          <w:sz w:val="22"/>
          <w:szCs w:val="22"/>
        </w:rPr>
        <w:t>部门的相关规定，若</w:t>
      </w:r>
      <w:r>
        <w:rPr>
          <w:rFonts w:hint="eastAsia" w:ascii="仿宋_GB2312" w:hAnsi="仿宋_GB2312" w:eastAsia="仿宋_GB2312" w:cs="仿宋_GB2312"/>
          <w:sz w:val="22"/>
          <w:szCs w:val="22"/>
          <w:lang w:val="en-US" w:eastAsia="zh-CN"/>
        </w:rPr>
        <w:t>有关</w:t>
      </w:r>
      <w:r>
        <w:rPr>
          <w:rFonts w:hint="eastAsia" w:ascii="仿宋_GB2312" w:hAnsi="仿宋_GB2312" w:eastAsia="仿宋_GB2312" w:cs="仿宋_GB2312"/>
          <w:sz w:val="22"/>
          <w:szCs w:val="22"/>
        </w:rPr>
        <w:t>部门检查出不符合相关规定，由承包人承担全部责任，工期不予顺延。</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8.2备注未注明为甲供的材料设备，乙方按甲控品牌自购。</w:t>
      </w:r>
    </w:p>
    <w:p>
      <w:pPr>
        <w:keepNext w:val="0"/>
        <w:keepLines w:val="0"/>
        <w:pageBreakBefore w:val="0"/>
        <w:kinsoku/>
        <w:overflowPunct/>
        <w:bidi w:val="0"/>
        <w:spacing w:line="40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8.3甲控材料设备应严格按品牌采购封样供货。乙方采购的所有材料设备合同均应提交复印件于甲方备查，来货收料甲方参与验收，送货单（收料单）甲方留存复印件，每份合同的付款情况应每月报送甲方知悉，否则不予支付工程进度款。</w:t>
      </w:r>
    </w:p>
    <w:p>
      <w:pPr>
        <w:keepNext w:val="0"/>
        <w:keepLines w:val="0"/>
        <w:pageBreakBefore w:val="0"/>
        <w:kinsoku/>
        <w:overflowPunct/>
        <w:bidi w:val="0"/>
        <w:spacing w:line="400" w:lineRule="exact"/>
        <w:ind w:firstLine="440" w:firstLineChars="200"/>
        <w:textAlignment w:val="auto"/>
        <w:rPr>
          <w:rFonts w:hint="default" w:eastAsia="仿宋_GB2312"/>
          <w:sz w:val="16"/>
          <w:szCs w:val="20"/>
          <w:lang w:val="en-US" w:eastAsia="zh-CN"/>
        </w:rPr>
      </w:pPr>
      <w:r>
        <w:rPr>
          <w:rFonts w:hint="eastAsia" w:ascii="仿宋_GB2312" w:hAnsi="仿宋_GB2312" w:eastAsia="仿宋_GB2312" w:cs="仿宋_GB2312"/>
          <w:sz w:val="22"/>
          <w:szCs w:val="22"/>
          <w:lang w:val="en-US" w:eastAsia="zh-CN"/>
        </w:rPr>
        <w:t>8.4甲供材数量以工程量清单数量为准，超出定额损耗部分由乙方自行承担。</w:t>
      </w:r>
    </w:p>
    <w:p>
      <w:pPr>
        <w:keepNext w:val="0"/>
        <w:keepLines w:val="0"/>
        <w:pageBreakBefore w:val="0"/>
        <w:kinsoku/>
        <w:overflowPunct/>
        <w:bidi w:val="0"/>
        <w:spacing w:line="400" w:lineRule="exact"/>
        <w:ind w:firstLine="640"/>
        <w:textAlignment w:val="auto"/>
        <w:rPr>
          <w:rFonts w:hint="eastAsia" w:ascii="仿宋_GB2312" w:hAnsi="仿宋_GB2312" w:eastAsia="仿宋_GB2312" w:cs="仿宋_GB2312"/>
          <w:bCs/>
          <w:color w:val="000000"/>
          <w:sz w:val="22"/>
          <w:szCs w:val="22"/>
          <w:lang w:eastAsia="zh-CN"/>
        </w:rPr>
      </w:pPr>
      <w:r>
        <w:rPr>
          <w:rFonts w:hint="eastAsia" w:ascii="仿宋_GB2312" w:hAnsi="仿宋_GB2312" w:eastAsia="仿宋_GB2312" w:cs="仿宋_GB2312"/>
          <w:sz w:val="22"/>
          <w:szCs w:val="22"/>
        </w:rPr>
        <w:t>8.</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bCs/>
          <w:color w:val="000000"/>
          <w:sz w:val="22"/>
          <w:szCs w:val="22"/>
        </w:rPr>
        <w:t>甲控及甲供材一览表</w:t>
      </w:r>
      <w:r>
        <w:rPr>
          <w:rFonts w:hint="eastAsia" w:ascii="仿宋_GB2312" w:hAnsi="仿宋_GB2312" w:eastAsia="仿宋_GB2312" w:cs="仿宋_GB2312"/>
          <w:bCs/>
          <w:color w:val="000000"/>
          <w:sz w:val="22"/>
          <w:szCs w:val="22"/>
          <w:lang w:eastAsia="zh-CN"/>
        </w:rPr>
        <w:t>（</w:t>
      </w:r>
      <w:r>
        <w:rPr>
          <w:rFonts w:hint="eastAsia" w:ascii="仿宋_GB2312" w:hAnsi="仿宋_GB2312" w:eastAsia="仿宋_GB2312" w:cs="仿宋_GB2312"/>
          <w:bCs/>
          <w:color w:val="000000"/>
          <w:sz w:val="22"/>
          <w:szCs w:val="22"/>
          <w:lang w:val="en-US" w:eastAsia="zh-CN"/>
        </w:rPr>
        <w:t>另附</w:t>
      </w:r>
      <w:r>
        <w:rPr>
          <w:rFonts w:hint="eastAsia" w:ascii="仿宋_GB2312" w:hAnsi="仿宋_GB2312" w:eastAsia="仿宋_GB2312" w:cs="仿宋_GB2312"/>
          <w:bCs/>
          <w:color w:val="000000"/>
          <w:sz w:val="22"/>
          <w:szCs w:val="22"/>
          <w:lang w:eastAsia="zh-CN"/>
        </w:rPr>
        <w:t>）</w:t>
      </w:r>
    </w:p>
    <w:p>
      <w:pPr>
        <w:pStyle w:val="7"/>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ind w:firstLine="442" w:firstLineChars="200"/>
        <w:textAlignment w:val="auto"/>
        <w:rPr>
          <w:rFonts w:ascii="仿宋_GB2312" w:hAnsi="仿宋_GB2312" w:eastAsia="仿宋_GB2312" w:cs="仿宋_GB2312"/>
          <w:b/>
          <w:color w:val="000000"/>
          <w:sz w:val="22"/>
          <w:szCs w:val="22"/>
        </w:rPr>
      </w:pPr>
      <w:r>
        <w:rPr>
          <w:rFonts w:hint="eastAsia" w:ascii="仿宋_GB2312" w:hAnsi="仿宋_GB2312" w:eastAsia="仿宋_GB2312" w:cs="仿宋_GB2312"/>
          <w:b/>
          <w:sz w:val="22"/>
          <w:szCs w:val="22"/>
        </w:rPr>
        <w:t>9.</w:t>
      </w:r>
      <w:r>
        <w:rPr>
          <w:rFonts w:hint="eastAsia" w:ascii="仿宋_GB2312" w:hAnsi="仿宋_GB2312" w:eastAsia="仿宋_GB2312" w:cs="仿宋_GB2312"/>
          <w:b/>
          <w:color w:val="000000"/>
          <w:sz w:val="22"/>
          <w:szCs w:val="22"/>
        </w:rPr>
        <w:t>争议解决方式</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本合同履行过程中若发生争议，双方应本着诚实信用和公平合理的原则协商解决；协商不成，向甲方所在地有管辖权的人民法院起诉。</w:t>
      </w:r>
    </w:p>
    <w:p>
      <w:pPr>
        <w:keepNext w:val="0"/>
        <w:keepLines w:val="0"/>
        <w:pageBreakBefore w:val="0"/>
        <w:kinsoku/>
        <w:overflowPunct/>
        <w:bidi w:val="0"/>
        <w:spacing w:line="400" w:lineRule="exact"/>
        <w:ind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本协议一式陆份，甲方四份乙方两份。由双方法定代表人或其授权的代理人签署并加盖公章后生效，全部工程竣工验收后失效。</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甲方：                              乙方：                 </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法定代表人或                       法定代表人或</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委托代理人：(签字)                 委托代理人：(签字)</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电话：                             </w:t>
      </w:r>
      <w:r>
        <w:rPr>
          <w:rFonts w:hint="eastAsia" w:ascii="仿宋_GB2312" w:hAnsi="仿宋_GB2312" w:eastAsia="仿宋_GB2312" w:cs="仿宋_GB2312"/>
          <w:vanish/>
          <w:color w:val="000000"/>
          <w:sz w:val="22"/>
          <w:szCs w:val="22"/>
        </w:rPr>
        <w:pgNum/>
      </w:r>
      <w:r>
        <w:rPr>
          <w:rFonts w:hint="eastAsia" w:ascii="仿宋_GB2312" w:hAnsi="仿宋_GB2312" w:eastAsia="仿宋_GB2312" w:cs="仿宋_GB2312"/>
          <w:vanish/>
          <w:color w:val="000000"/>
          <w:sz w:val="22"/>
          <w:szCs w:val="22"/>
        </w:rPr>
        <w:pgNum/>
      </w:r>
      <w:r>
        <w:rPr>
          <w:rFonts w:hint="eastAsia" w:ascii="仿宋_GB2312" w:hAnsi="仿宋_GB2312" w:eastAsia="仿宋_GB2312" w:cs="仿宋_GB2312"/>
          <w:color w:val="000000"/>
          <w:sz w:val="22"/>
          <w:szCs w:val="22"/>
        </w:rPr>
        <w:t xml:space="preserve">电话： </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开户银行：                         开户银行：</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账号：                             账号:</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日期：                             日期： </w:t>
      </w:r>
    </w:p>
    <w:p>
      <w:pPr>
        <w:keepNext w:val="0"/>
        <w:keepLines w:val="0"/>
        <w:pageBreakBefore w:val="0"/>
        <w:kinsoku/>
        <w:overflowPunct/>
        <w:bidi w:val="0"/>
        <w:spacing w:line="400" w:lineRule="exact"/>
        <w:jc w:val="center"/>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       </w:t>
      </w: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rPr>
      </w:pPr>
    </w:p>
    <w:p>
      <w:pPr>
        <w:keepNext w:val="0"/>
        <w:keepLines w:val="0"/>
        <w:pageBreakBefore w:val="0"/>
        <w:kinsoku/>
        <w:overflowPunct/>
        <w:bidi w:val="0"/>
        <w:spacing w:line="400" w:lineRule="exact"/>
        <w:jc w:val="center"/>
        <w:textAlignment w:val="auto"/>
        <w:rPr>
          <w:rFonts w:ascii="仿宋" w:hAnsi="仿宋" w:eastAsia="仿宋" w:cs="仿宋"/>
          <w:b/>
          <w:sz w:val="32"/>
          <w:szCs w:val="32"/>
        </w:rPr>
      </w:pPr>
      <w:r>
        <w:rPr>
          <w:rFonts w:hint="eastAsia" w:ascii="仿宋" w:hAnsi="仿宋" w:eastAsia="仿宋" w:cs="仿宋"/>
          <w:b/>
          <w:sz w:val="32"/>
          <w:szCs w:val="32"/>
        </w:rPr>
        <w:t>工程质量保修书</w:t>
      </w:r>
    </w:p>
    <w:p>
      <w:pPr>
        <w:keepNext w:val="0"/>
        <w:keepLines w:val="0"/>
        <w:pageBreakBefore w:val="0"/>
        <w:kinsoku/>
        <w:overflowPunct/>
        <w:bidi w:val="0"/>
        <w:spacing w:line="400" w:lineRule="exact"/>
        <w:textAlignment w:val="auto"/>
        <w:rPr>
          <w:rFonts w:ascii="仿宋_GB2312" w:hAnsi="仿宋_GB2312" w:eastAsia="仿宋_GB2312" w:cs="仿宋_GB2312"/>
          <w:bCs/>
          <w:sz w:val="22"/>
          <w:szCs w:val="22"/>
          <w:u w:val="single"/>
        </w:rPr>
      </w:pPr>
      <w:r>
        <w:rPr>
          <w:rFonts w:hint="eastAsia" w:ascii="仿宋_GB2312" w:hAnsi="仿宋_GB2312" w:eastAsia="仿宋_GB2312" w:cs="仿宋_GB2312"/>
          <w:bCs/>
          <w:sz w:val="22"/>
          <w:szCs w:val="22"/>
        </w:rPr>
        <w:t>发包人（甲方）：</w:t>
      </w:r>
      <w:r>
        <w:rPr>
          <w:rFonts w:hint="eastAsia" w:ascii="仿宋_GB2312" w:hAnsi="仿宋_GB2312" w:eastAsia="仿宋_GB2312" w:cs="仿宋_GB2312"/>
          <w:bCs/>
          <w:sz w:val="22"/>
          <w:szCs w:val="22"/>
          <w:u w:val="single"/>
        </w:rPr>
        <w:t>安徽省经工建设集团有限公司</w:t>
      </w:r>
      <w:r>
        <w:rPr>
          <w:rFonts w:hint="eastAsia" w:ascii="仿宋_GB2312" w:hAnsi="仿宋_GB2312" w:eastAsia="仿宋_GB2312" w:cs="仿宋_GB2312"/>
          <w:bCs/>
          <w:sz w:val="22"/>
          <w:szCs w:val="22"/>
        </w:rPr>
        <w:t xml:space="preserve"> </w:t>
      </w:r>
    </w:p>
    <w:p>
      <w:pPr>
        <w:keepNext w:val="0"/>
        <w:keepLines w:val="0"/>
        <w:pageBreakBefore w:val="0"/>
        <w:kinsoku/>
        <w:overflowPunct/>
        <w:bidi w:val="0"/>
        <w:spacing w:line="400" w:lineRule="exact"/>
        <w:textAlignment w:val="auto"/>
        <w:rPr>
          <w:rFonts w:hint="default"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rPr>
        <w:t>承包人（乙方）：</w:t>
      </w:r>
      <w:r>
        <w:rPr>
          <w:rFonts w:hint="eastAsia" w:ascii="仿宋_GB2312" w:hAnsi="仿宋_GB2312" w:eastAsia="仿宋_GB2312" w:cs="仿宋_GB2312"/>
          <w:color w:val="0C0C0C"/>
          <w:sz w:val="22"/>
          <w:szCs w:val="22"/>
          <w:u w:val="single"/>
          <w:lang w:val="en-US" w:eastAsia="zh-CN"/>
        </w:rPr>
        <w:t xml:space="preserve">                          </w:t>
      </w:r>
    </w:p>
    <w:p>
      <w:pPr>
        <w:keepNext w:val="0"/>
        <w:keepLines w:val="0"/>
        <w:pageBreakBefore w:val="0"/>
        <w:kinsoku/>
        <w:overflowPunct/>
        <w:bidi w:val="0"/>
        <w:spacing w:line="400" w:lineRule="exac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发包人、承包人根据《中华人民共和国建筑法》、《建设工程质量管理条例》和《房屋建筑工程质量保修办法》，经协商一致，对</w:t>
      </w:r>
      <w:r>
        <w:rPr>
          <w:rFonts w:hint="eastAsia" w:ascii="仿宋_GB2312" w:hAnsi="仿宋_GB2312" w:eastAsia="仿宋_GB2312" w:cs="仿宋_GB2312"/>
          <w:kern w:val="0"/>
          <w:sz w:val="22"/>
          <w:szCs w:val="22"/>
          <w:u w:val="single"/>
        </w:rPr>
        <w:t xml:space="preserve"> </w:t>
      </w:r>
      <w:r>
        <w:rPr>
          <w:rFonts w:hint="eastAsia" w:ascii="仿宋_GB2312" w:hAnsi="仿宋_GB2312" w:eastAsia="仿宋_GB2312" w:cs="仿宋_GB2312"/>
          <w:kern w:val="0"/>
          <w:sz w:val="22"/>
          <w:szCs w:val="22"/>
          <w:u w:val="single"/>
          <w:lang w:val="en-US" w:eastAsia="zh-CN"/>
        </w:rPr>
        <w:t xml:space="preserve">            </w:t>
      </w:r>
      <w:r>
        <w:rPr>
          <w:rFonts w:hint="eastAsia" w:ascii="仿宋_GB2312" w:hAnsi="仿宋_GB2312" w:eastAsia="仿宋_GB2312" w:cs="仿宋_GB2312"/>
          <w:kern w:val="0"/>
          <w:sz w:val="22"/>
          <w:szCs w:val="22"/>
          <w:u w:val="single"/>
        </w:rPr>
        <w:t xml:space="preserve"> </w:t>
      </w:r>
      <w:r>
        <w:rPr>
          <w:rFonts w:hint="eastAsia" w:ascii="仿宋_GB2312" w:hAnsi="仿宋_GB2312" w:eastAsia="仿宋_GB2312" w:cs="仿宋_GB2312"/>
          <w:sz w:val="22"/>
          <w:szCs w:val="22"/>
        </w:rPr>
        <w:t>（工程全称）签订工程质量保修书。</w:t>
      </w:r>
    </w:p>
    <w:p>
      <w:pPr>
        <w:keepNext w:val="0"/>
        <w:keepLines w:val="0"/>
        <w:pageBreakBefore w:val="0"/>
        <w:kinsoku/>
        <w:overflowPunct/>
        <w:bidi w:val="0"/>
        <w:spacing w:line="400" w:lineRule="exact"/>
        <w:textAlignment w:val="auto"/>
        <w:rPr>
          <w:rFonts w:ascii="仿宋_GB2312" w:hAnsi="仿宋_GB2312" w:eastAsia="仿宋_GB2312" w:cs="仿宋_GB2312"/>
          <w:bCs/>
          <w:sz w:val="22"/>
          <w:szCs w:val="22"/>
        </w:rPr>
      </w:pPr>
      <w:r>
        <w:rPr>
          <w:rFonts w:hint="eastAsia" w:ascii="仿宋_GB2312" w:hAnsi="仿宋_GB2312" w:eastAsia="仿宋_GB2312" w:cs="仿宋_GB2312"/>
          <w:bCs/>
          <w:sz w:val="22"/>
          <w:szCs w:val="22"/>
        </w:rPr>
        <w:t>一、工程质量保修范围和内容</w:t>
      </w:r>
    </w:p>
    <w:p>
      <w:pPr>
        <w:keepNext w:val="0"/>
        <w:keepLines w:val="0"/>
        <w:pageBreakBefore w:val="0"/>
        <w:kinsoku/>
        <w:overflowPunct/>
        <w:bidi w:val="0"/>
        <w:spacing w:line="400" w:lineRule="exact"/>
        <w:ind w:left="-83" w:leftChars="-121" w:hanging="171" w:hangingChars="78"/>
        <w:textAlignment w:val="auto"/>
        <w:rPr>
          <w:rFonts w:ascii="仿宋_GB2312" w:hAnsi="仿宋_GB2312" w:eastAsia="仿宋_GB2312" w:cs="仿宋_GB2312"/>
          <w:bCs/>
          <w:sz w:val="22"/>
          <w:szCs w:val="22"/>
        </w:rPr>
      </w:pPr>
      <w:r>
        <w:rPr>
          <w:rFonts w:hint="eastAsia" w:ascii="仿宋_GB2312" w:hAnsi="仿宋_GB2312" w:eastAsia="仿宋_GB2312" w:cs="仿宋_GB2312"/>
          <w:sz w:val="22"/>
          <w:szCs w:val="22"/>
        </w:rPr>
        <w:t>　　  承包人在质量保修期内，按照有关法律、法规、规章的管理规定和双方约定，承担本工程质量保修责任。质量保修范围包括</w:t>
      </w:r>
      <w:r>
        <w:rPr>
          <w:rFonts w:hint="eastAsia" w:ascii="仿宋_GB2312" w:hAnsi="仿宋_GB2312" w:eastAsia="仿宋_GB2312" w:cs="仿宋_GB2312"/>
          <w:sz w:val="22"/>
          <w:szCs w:val="22"/>
          <w:u w:val="single"/>
        </w:rPr>
        <w:t xml:space="preserve">  乙方所承接全部工作内容  </w:t>
      </w:r>
      <w:r>
        <w:rPr>
          <w:rFonts w:hint="eastAsia" w:ascii="仿宋_GB2312" w:hAnsi="仿宋_GB2312" w:eastAsia="仿宋_GB2312" w:cs="仿宋_GB2312"/>
          <w:sz w:val="22"/>
          <w:szCs w:val="22"/>
        </w:rPr>
        <w:t>，以及双方约定的其他项目。具体保修的内容，双方约定如下:</w:t>
      </w:r>
      <w:r>
        <w:rPr>
          <w:rFonts w:hint="eastAsia" w:ascii="仿宋_GB2312" w:hAnsi="仿宋_GB2312" w:eastAsia="仿宋_GB2312" w:cs="仿宋_GB2312"/>
          <w:bCs/>
          <w:sz w:val="22"/>
          <w:szCs w:val="22"/>
        </w:rPr>
        <w:t>执行《建设工程质量管理条例》和《房屋建筑工程质量保修办法》等法律法规。</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bCs/>
          <w:spacing w:val="4"/>
          <w:sz w:val="22"/>
          <w:szCs w:val="22"/>
        </w:rPr>
        <w:t>二、质量保修期</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双方根据《建设工程质量管理条例》及有关规定，约定本工程的质量保修期如下：</w:t>
      </w:r>
      <w:r>
        <w:rPr>
          <w:rFonts w:hint="eastAsia" w:ascii="仿宋_GB2312" w:hAnsi="仿宋_GB2312" w:eastAsia="仿宋_GB2312" w:cs="仿宋_GB2312"/>
          <w:sz w:val="22"/>
          <w:szCs w:val="22"/>
          <w:highlight w:val="yellow"/>
        </w:rPr>
        <w:t>（以下标准为暂定，施工合同签订后相应调整下列标准，且不得超过施工合同标准）</w:t>
      </w:r>
    </w:p>
    <w:p>
      <w:pPr>
        <w:pStyle w:val="20"/>
        <w:keepNext w:val="0"/>
        <w:keepLines w:val="0"/>
        <w:pageBreakBefore w:val="0"/>
        <w:kinsoku/>
        <w:overflowPunct/>
        <w:bidi w:val="0"/>
        <w:spacing w:line="400" w:lineRule="exact"/>
        <w:ind w:left="0" w:right="-6"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1.地基基础工程和主体结构工程为设计文件规定的该工程合理使用年限；</w:t>
      </w:r>
    </w:p>
    <w:p>
      <w:pPr>
        <w:pStyle w:val="20"/>
        <w:keepNext w:val="0"/>
        <w:keepLines w:val="0"/>
        <w:pageBreakBefore w:val="0"/>
        <w:kinsoku/>
        <w:overflowPunct/>
        <w:bidi w:val="0"/>
        <w:spacing w:line="400" w:lineRule="exact"/>
        <w:ind w:left="0" w:right="-6"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⒉ 屋面防水工程、有防水要求的卫生间、房间和外墙面的防渗漏为</w:t>
      </w:r>
      <w:r>
        <w:rPr>
          <w:rFonts w:hint="eastAsia" w:ascii="仿宋_GB2312" w:hAnsi="仿宋_GB2312" w:eastAsia="仿宋_GB2312" w:cs="仿宋_GB2312"/>
          <w:sz w:val="22"/>
          <w:szCs w:val="22"/>
          <w:u w:val="single"/>
        </w:rPr>
        <w:t xml:space="preserve"> 5 </w:t>
      </w:r>
      <w:r>
        <w:rPr>
          <w:rFonts w:hint="eastAsia" w:ascii="仿宋_GB2312" w:hAnsi="仿宋_GB2312" w:eastAsia="仿宋_GB2312" w:cs="仿宋_GB2312"/>
          <w:sz w:val="22"/>
          <w:szCs w:val="22"/>
        </w:rPr>
        <w:t>年；</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⒊ 装修工程为</w:t>
      </w:r>
      <w:r>
        <w:rPr>
          <w:rFonts w:hint="eastAsia" w:ascii="仿宋_GB2312" w:hAnsi="仿宋_GB2312" w:eastAsia="仿宋_GB2312" w:cs="仿宋_GB2312"/>
          <w:sz w:val="22"/>
          <w:szCs w:val="22"/>
          <w:u w:val="single"/>
        </w:rPr>
        <w:t xml:space="preserve"> 2 </w:t>
      </w:r>
      <w:r>
        <w:rPr>
          <w:rFonts w:hint="eastAsia" w:ascii="仿宋_GB2312" w:hAnsi="仿宋_GB2312" w:eastAsia="仿宋_GB2312" w:cs="仿宋_GB2312"/>
          <w:sz w:val="22"/>
          <w:szCs w:val="22"/>
        </w:rPr>
        <w:t>年；</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⒋ 电气管线、给排水管道、设备安装工程为</w:t>
      </w:r>
      <w:r>
        <w:rPr>
          <w:rFonts w:hint="eastAsia" w:ascii="仿宋_GB2312" w:hAnsi="仿宋_GB2312" w:eastAsia="仿宋_GB2312" w:cs="仿宋_GB2312"/>
          <w:sz w:val="22"/>
          <w:szCs w:val="22"/>
          <w:u w:val="single"/>
        </w:rPr>
        <w:t xml:space="preserve"> 2  </w:t>
      </w:r>
      <w:r>
        <w:rPr>
          <w:rFonts w:hint="eastAsia" w:ascii="仿宋_GB2312" w:hAnsi="仿宋_GB2312" w:eastAsia="仿宋_GB2312" w:cs="仿宋_GB2312"/>
          <w:sz w:val="22"/>
          <w:szCs w:val="22"/>
        </w:rPr>
        <w:t>年；</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⒌ 供热与供冷系统为</w:t>
      </w:r>
      <w:r>
        <w:rPr>
          <w:rFonts w:hint="eastAsia" w:ascii="仿宋_GB2312" w:hAnsi="仿宋_GB2312" w:eastAsia="仿宋_GB2312" w:cs="仿宋_GB2312"/>
          <w:sz w:val="22"/>
          <w:szCs w:val="22"/>
          <w:u w:val="single"/>
        </w:rPr>
        <w:t xml:space="preserve"> 1  </w:t>
      </w:r>
      <w:r>
        <w:rPr>
          <w:rFonts w:hint="eastAsia" w:ascii="仿宋_GB2312" w:hAnsi="仿宋_GB2312" w:eastAsia="仿宋_GB2312" w:cs="仿宋_GB2312"/>
          <w:sz w:val="22"/>
          <w:szCs w:val="22"/>
        </w:rPr>
        <w:t>个采暖期、供冷期；</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⒍ 住宅小区内的给排水设施、道路等配套工程为</w:t>
      </w:r>
      <w:r>
        <w:rPr>
          <w:rFonts w:hint="eastAsia" w:ascii="仿宋_GB2312" w:hAnsi="仿宋_GB2312" w:eastAsia="仿宋_GB2312" w:cs="仿宋_GB2312"/>
          <w:sz w:val="22"/>
          <w:szCs w:val="22"/>
          <w:u w:val="single"/>
        </w:rPr>
        <w:t xml:space="preserve"> / </w:t>
      </w:r>
      <w:r>
        <w:rPr>
          <w:rFonts w:hint="eastAsia" w:ascii="仿宋_GB2312" w:hAnsi="仿宋_GB2312" w:eastAsia="仿宋_GB2312" w:cs="仿宋_GB2312"/>
          <w:sz w:val="22"/>
          <w:szCs w:val="22"/>
        </w:rPr>
        <w:t>年；</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⒎ 其他项目保修期限约定如下：</w:t>
      </w:r>
    </w:p>
    <w:p>
      <w:pPr>
        <w:pStyle w:val="20"/>
        <w:keepNext w:val="0"/>
        <w:keepLines w:val="0"/>
        <w:pageBreakBefore w:val="0"/>
        <w:kinsoku/>
        <w:overflowPunct/>
        <w:bidi w:val="0"/>
        <w:spacing w:line="400" w:lineRule="exact"/>
        <w:ind w:left="0" w:right="-6" w:firstLine="440" w:firstLineChars="200"/>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本工程的质量保修期自本合同工程整体竣工验收合格交付之日起计算。  </w:t>
      </w:r>
    </w:p>
    <w:p>
      <w:pPr>
        <w:pStyle w:val="20"/>
        <w:keepNext w:val="0"/>
        <w:keepLines w:val="0"/>
        <w:pageBreakBefore w:val="0"/>
        <w:kinsoku/>
        <w:overflowPunct/>
        <w:bidi w:val="0"/>
        <w:spacing w:line="400" w:lineRule="exact"/>
        <w:ind w:left="0" w:right="-6"/>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　　质量保修期自工程竣工验收合格之日起计算。</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保修期同施工合同标准</w:t>
      </w:r>
      <w:r>
        <w:rPr>
          <w:rFonts w:hint="eastAsia" w:ascii="仿宋_GB2312" w:hAnsi="仿宋_GB2312" w:eastAsia="仿宋_GB2312" w:cs="仿宋_GB2312"/>
          <w:sz w:val="22"/>
          <w:szCs w:val="22"/>
          <w:lang w:eastAsia="zh-CN"/>
        </w:rPr>
        <w:t>）</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w:t>
      </w:r>
      <w:r>
        <w:rPr>
          <w:rFonts w:hint="eastAsia" w:ascii="仿宋_GB2312" w:hAnsi="仿宋_GB2312" w:eastAsia="仿宋_GB2312" w:cs="仿宋_GB2312"/>
          <w:bCs/>
          <w:spacing w:val="4"/>
          <w:sz w:val="22"/>
          <w:szCs w:val="22"/>
        </w:rPr>
        <w:t>三、质量保修责任</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⒈ 属于保修范围、内容的项目，承包人应当在接到保修通知之日起7天内派人保修。承包人不在约定期限内派人保修的，发包人可以委托他人修理，费用及损失由承包人承担，从质保金中扣除。</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⒉ 发生紧急抢修事故的，承包人在接到事故通知后，应当立即到达事故现场抢修，未及时修理的，发包人可以委托他人修理，费用及损失由承包人承担，从质保金中扣除。非承包人施工质量引起的事故，抢修费用由发包人承担。</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⒋ 质量保修完成后，由发包人组织验收。</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w:t>
      </w:r>
      <w:r>
        <w:rPr>
          <w:rFonts w:hint="eastAsia" w:ascii="仿宋_GB2312" w:hAnsi="仿宋_GB2312" w:eastAsia="仿宋_GB2312" w:cs="仿宋_GB2312"/>
          <w:bCs/>
          <w:spacing w:val="4"/>
          <w:sz w:val="22"/>
          <w:szCs w:val="22"/>
        </w:rPr>
        <w:t>四、保修费用</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保修费用由承包人承担，从质保金中扣除。不足部分由乙方筹款支付。</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w:t>
      </w:r>
      <w:r>
        <w:rPr>
          <w:rFonts w:hint="eastAsia" w:ascii="仿宋_GB2312" w:hAnsi="仿宋_GB2312" w:eastAsia="仿宋_GB2312" w:cs="仿宋_GB2312"/>
          <w:bCs/>
          <w:spacing w:val="4"/>
          <w:sz w:val="22"/>
          <w:szCs w:val="22"/>
        </w:rPr>
        <w:t>五、其他</w:t>
      </w:r>
    </w:p>
    <w:p>
      <w:pPr>
        <w:pStyle w:val="20"/>
        <w:keepNext w:val="0"/>
        <w:keepLines w:val="0"/>
        <w:pageBreakBefore w:val="0"/>
        <w:kinsoku/>
        <w:overflowPunct/>
        <w:bidi w:val="0"/>
        <w:spacing w:line="400" w:lineRule="exact"/>
        <w:ind w:left="0" w:right="-6" w:firstLine="330" w:firstLineChars="150"/>
        <w:textAlignment w:val="auto"/>
        <w:rPr>
          <w:rFonts w:ascii="仿宋_GB2312" w:hAnsi="仿宋_GB2312" w:eastAsia="仿宋_GB2312" w:cs="仿宋_GB2312"/>
          <w:sz w:val="22"/>
          <w:szCs w:val="22"/>
          <w:u w:val="single"/>
        </w:rPr>
      </w:pPr>
      <w:r>
        <w:rPr>
          <w:rFonts w:hint="eastAsia" w:ascii="仿宋_GB2312" w:hAnsi="仿宋_GB2312" w:eastAsia="仿宋_GB2312" w:cs="仿宋_GB2312"/>
          <w:sz w:val="22"/>
          <w:szCs w:val="22"/>
        </w:rPr>
        <w:t>双方约定的其他工程质量保修事项：</w:t>
      </w:r>
      <w:r>
        <w:rPr>
          <w:rFonts w:hint="eastAsia" w:ascii="仿宋_GB2312" w:hAnsi="仿宋_GB2312" w:eastAsia="仿宋_GB2312" w:cs="仿宋_GB2312"/>
          <w:sz w:val="22"/>
          <w:szCs w:val="22"/>
          <w:u w:val="single"/>
        </w:rPr>
        <w:t xml:space="preserve">              /                       </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本工程质量保修书，由施工合同发包人、承包人双方在竣工验收前共同签署，作为施工合同附件，其有效期限至保修期满。</w:t>
      </w: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p>
    <w:p>
      <w:pPr>
        <w:pStyle w:val="20"/>
        <w:keepNext w:val="0"/>
        <w:keepLines w:val="0"/>
        <w:pageBreakBefore w:val="0"/>
        <w:kinsoku/>
        <w:overflowPunct/>
        <w:bidi w:val="0"/>
        <w:spacing w:line="400" w:lineRule="exact"/>
        <w:ind w:left="0" w:right="-6"/>
        <w:textAlignment w:val="auto"/>
        <w:rPr>
          <w:rFonts w:ascii="仿宋_GB2312" w:hAnsi="仿宋_GB2312" w:eastAsia="仿宋_GB2312" w:cs="仿宋_GB2312"/>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甲方：                             乙方：                 </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法定代表人或                       法定代表人或</w:t>
      </w:r>
    </w:p>
    <w:p>
      <w:pPr>
        <w:keepNext w:val="0"/>
        <w:keepLines w:val="0"/>
        <w:pageBreakBefore w:val="0"/>
        <w:kinsoku/>
        <w:overflowPunct/>
        <w:bidi w:val="0"/>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委托代理人：(签字)                 委托代理人：(签字)</w:t>
      </w: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textAlignment w:val="auto"/>
        <w:rPr>
          <w:rFonts w:ascii="仿宋_GB2312" w:hAnsi="仿宋_GB2312" w:eastAsia="仿宋_GB2312" w:cs="仿宋_GB2312"/>
          <w:bCs/>
          <w:spacing w:val="40"/>
          <w:sz w:val="22"/>
          <w:szCs w:val="22"/>
        </w:rPr>
      </w:pPr>
    </w:p>
    <w:p>
      <w:pPr>
        <w:keepNext w:val="0"/>
        <w:keepLines w:val="0"/>
        <w:pageBreakBefore w:val="0"/>
        <w:kinsoku/>
        <w:overflowPunct/>
        <w:bidi w:val="0"/>
        <w:spacing w:line="400" w:lineRule="exact"/>
        <w:jc w:val="center"/>
        <w:textAlignment w:val="auto"/>
        <w:rPr>
          <w:rFonts w:hint="eastAsia" w:ascii="仿宋" w:hAnsi="仿宋" w:eastAsia="仿宋" w:cs="仿宋"/>
          <w:b/>
          <w:sz w:val="32"/>
          <w:szCs w:val="32"/>
          <w:lang w:eastAsia="zh-CN"/>
        </w:rPr>
      </w:pPr>
      <w:r>
        <w:rPr>
          <w:rFonts w:hint="eastAsia" w:ascii="仿宋" w:hAnsi="仿宋" w:eastAsia="仿宋" w:cs="仿宋"/>
          <w:b/>
          <w:spacing w:val="40"/>
          <w:sz w:val="32"/>
          <w:szCs w:val="32"/>
        </w:rPr>
        <w:t>安全</w:t>
      </w:r>
      <w:r>
        <w:rPr>
          <w:rFonts w:hint="eastAsia" w:ascii="仿宋" w:hAnsi="仿宋" w:eastAsia="仿宋" w:cs="仿宋"/>
          <w:b/>
          <w:spacing w:val="40"/>
          <w:sz w:val="32"/>
          <w:szCs w:val="32"/>
          <w:lang w:val="en-US" w:eastAsia="zh-CN"/>
        </w:rPr>
        <w:t>协议</w:t>
      </w:r>
    </w:p>
    <w:p>
      <w:pPr>
        <w:keepNext w:val="0"/>
        <w:keepLines w:val="0"/>
        <w:pageBreakBefore w:val="0"/>
        <w:widowControl w:val="0"/>
        <w:kinsoku/>
        <w:wordWrap w:val="0"/>
        <w:overflowPunct/>
        <w:topLinePunct/>
        <w:bidi w:val="0"/>
        <w:snapToGrid/>
        <w:spacing w:line="400" w:lineRule="exact"/>
        <w:ind w:left="10" w:firstLine="429" w:firstLineChars="195"/>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为在施工过程中创造安全、高效的施工环境，切实搞好本项目的安全管理工作，项目</w:t>
      </w:r>
      <w:r>
        <w:rPr>
          <w:rFonts w:hint="eastAsia" w:ascii="仿宋_GB2312" w:hAnsi="仿宋_GB2312" w:eastAsia="仿宋_GB2312" w:cs="仿宋_GB2312"/>
          <w:kern w:val="0"/>
          <w:sz w:val="22"/>
          <w:szCs w:val="22"/>
          <w:lang w:eastAsia="zh-CN"/>
        </w:rPr>
        <w:t>乙方</w:t>
      </w:r>
      <w:r>
        <w:rPr>
          <w:rFonts w:hint="eastAsia" w:ascii="仿宋_GB2312" w:hAnsi="仿宋_GB2312" w:eastAsia="仿宋_GB2312" w:cs="仿宋_GB2312"/>
          <w:kern w:val="0"/>
          <w:sz w:val="22"/>
          <w:szCs w:val="22"/>
        </w:rPr>
        <w:t xml:space="preserve"> </w:t>
      </w:r>
      <w:r>
        <w:rPr>
          <w:rFonts w:hint="eastAsia" w:ascii="仿宋_GB2312" w:hAnsi="仿宋_GB2312" w:eastAsia="仿宋_GB2312" w:cs="仿宋_GB2312"/>
          <w:color w:val="0C0C0C"/>
          <w:sz w:val="22"/>
          <w:szCs w:val="22"/>
          <w:u w:val="single"/>
        </w:rPr>
        <w:t>安徽省经工建设集团有限公司</w:t>
      </w:r>
      <w:r>
        <w:rPr>
          <w:rFonts w:hint="eastAsia" w:ascii="仿宋_GB2312" w:hAnsi="仿宋_GB2312" w:eastAsia="仿宋_GB2312" w:cs="仿宋_GB2312"/>
          <w:kern w:val="0"/>
          <w:sz w:val="22"/>
          <w:szCs w:val="22"/>
        </w:rPr>
        <w:t>（以下简称“</w:t>
      </w:r>
      <w:r>
        <w:rPr>
          <w:rFonts w:hint="eastAsia" w:ascii="仿宋_GB2312" w:hAnsi="仿宋_GB2312" w:eastAsia="仿宋_GB2312" w:cs="仿宋_GB2312"/>
          <w:kern w:val="0"/>
          <w:sz w:val="22"/>
          <w:szCs w:val="22"/>
          <w:lang w:val="en-US" w:eastAsia="zh-CN"/>
        </w:rPr>
        <w:t>甲方</w:t>
      </w:r>
      <w:r>
        <w:rPr>
          <w:rFonts w:hint="eastAsia" w:ascii="仿宋_GB2312" w:hAnsi="仿宋_GB2312" w:eastAsia="仿宋_GB2312" w:cs="仿宋_GB2312"/>
          <w:kern w:val="0"/>
          <w:sz w:val="22"/>
          <w:szCs w:val="22"/>
        </w:rPr>
        <w:t>”）与</w:t>
      </w:r>
      <w:r>
        <w:rPr>
          <w:rFonts w:hint="eastAsia" w:ascii="仿宋_GB2312" w:hAnsi="仿宋_GB2312" w:eastAsia="仿宋_GB2312" w:cs="仿宋_GB2312"/>
          <w:kern w:val="0"/>
          <w:sz w:val="22"/>
          <w:szCs w:val="22"/>
          <w:lang w:eastAsia="zh-CN"/>
        </w:rPr>
        <w:t>专业分包</w:t>
      </w:r>
      <w:r>
        <w:rPr>
          <w:rFonts w:hint="eastAsia" w:ascii="仿宋_GB2312" w:hAnsi="仿宋_GB2312" w:eastAsia="仿宋_GB2312" w:cs="仿宋_GB2312"/>
          <w:kern w:val="0"/>
          <w:sz w:val="22"/>
          <w:szCs w:val="22"/>
        </w:rPr>
        <w:t>人</w:t>
      </w:r>
      <w:r>
        <w:rPr>
          <w:rFonts w:hint="eastAsia" w:ascii="仿宋_GB2312" w:hAnsi="仿宋_GB2312" w:eastAsia="仿宋_GB2312" w:cs="仿宋_GB2312"/>
          <w:kern w:val="0"/>
          <w:sz w:val="22"/>
          <w:szCs w:val="22"/>
          <w:u w:val="single"/>
          <w:lang w:val="en-US" w:eastAsia="zh-CN"/>
        </w:rPr>
        <w:t xml:space="preserve">             </w:t>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（以下简称“</w:t>
      </w:r>
      <w:r>
        <w:rPr>
          <w:rFonts w:hint="eastAsia" w:ascii="仿宋_GB2312" w:hAnsi="仿宋_GB2312" w:eastAsia="仿宋_GB2312" w:cs="仿宋_GB2312"/>
          <w:kern w:val="0"/>
          <w:sz w:val="22"/>
          <w:szCs w:val="22"/>
          <w:lang w:val="en-US" w:eastAsia="zh-CN"/>
        </w:rPr>
        <w:t>乙方</w:t>
      </w:r>
      <w:r>
        <w:rPr>
          <w:rFonts w:hint="eastAsia" w:ascii="仿宋_GB2312" w:hAnsi="仿宋_GB2312" w:eastAsia="仿宋_GB2312" w:cs="仿宋_GB2312"/>
          <w:kern w:val="0"/>
          <w:sz w:val="22"/>
          <w:szCs w:val="22"/>
        </w:rPr>
        <w:t>”）特此签订安全生产合同：</w:t>
      </w:r>
    </w:p>
    <w:p>
      <w:pPr>
        <w:keepNext w:val="0"/>
        <w:keepLines w:val="0"/>
        <w:pageBreakBefore w:val="0"/>
        <w:widowControl w:val="0"/>
        <w:kinsoku/>
        <w:wordWrap w:val="0"/>
        <w:overflowPunct/>
        <w:topLinePunct/>
        <w:bidi w:val="0"/>
        <w:adjustRightInd w:val="0"/>
        <w:snapToGrid/>
        <w:spacing w:line="400" w:lineRule="exact"/>
        <w:ind w:firstLine="442" w:firstLineChars="200"/>
        <w:textAlignment w:val="auto"/>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一、</w:t>
      </w:r>
      <w:r>
        <w:rPr>
          <w:rFonts w:hint="eastAsia" w:ascii="仿宋_GB2312" w:hAnsi="仿宋_GB2312" w:eastAsia="仿宋_GB2312" w:cs="仿宋_GB2312"/>
          <w:b/>
          <w:bCs/>
          <w:kern w:val="0"/>
          <w:sz w:val="22"/>
          <w:szCs w:val="22"/>
          <w:lang w:val="en-US" w:eastAsia="zh-CN"/>
        </w:rPr>
        <w:t>甲方</w:t>
      </w:r>
      <w:r>
        <w:rPr>
          <w:rFonts w:hint="eastAsia" w:ascii="仿宋_GB2312" w:hAnsi="仿宋_GB2312" w:eastAsia="仿宋_GB2312" w:cs="仿宋_GB2312"/>
          <w:b/>
          <w:bCs/>
          <w:kern w:val="0"/>
          <w:sz w:val="22"/>
          <w:szCs w:val="22"/>
        </w:rPr>
        <w:t>职责</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1．严格遵守国家有关安全生产的法律法规，认真执行工程承包合同中的有关安全要求。</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2．按照“安全第一、预防为主、综合治理”和坚持“管生产必须管安全”的原则进行安全生产管理，做到生产与安全工作同时计划、布置、检查、总结和评比。</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3．重要的安全设施必须坚持与主体工程“三同时”的原则，即：同时设计、审批，同时施工，同时验收，投入使用。</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4．定期召开安全生产调度会，及时传达中央及地方有关安全生产的精神。</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5．组织对</w:t>
      </w:r>
      <w:r>
        <w:rPr>
          <w:rFonts w:hint="eastAsia" w:ascii="仿宋_GB2312" w:hAnsi="仿宋_GB2312" w:eastAsia="仿宋_GB2312" w:cs="仿宋_GB2312"/>
          <w:kern w:val="0"/>
          <w:sz w:val="22"/>
          <w:szCs w:val="22"/>
          <w:lang w:eastAsia="zh-CN"/>
        </w:rPr>
        <w:t>乙方</w:t>
      </w:r>
      <w:r>
        <w:rPr>
          <w:rFonts w:hint="eastAsia" w:ascii="仿宋_GB2312" w:hAnsi="仿宋_GB2312" w:eastAsia="仿宋_GB2312" w:cs="仿宋_GB2312"/>
          <w:kern w:val="0"/>
          <w:sz w:val="22"/>
          <w:szCs w:val="22"/>
        </w:rPr>
        <w:t>施工现场安全生产检查，监督</w:t>
      </w:r>
      <w:r>
        <w:rPr>
          <w:rFonts w:hint="eastAsia" w:ascii="仿宋_GB2312" w:hAnsi="仿宋_GB2312" w:eastAsia="仿宋_GB2312" w:cs="仿宋_GB2312"/>
          <w:kern w:val="0"/>
          <w:sz w:val="22"/>
          <w:szCs w:val="22"/>
          <w:lang w:eastAsia="zh-CN"/>
        </w:rPr>
        <w:t>乙方</w:t>
      </w:r>
      <w:r>
        <w:rPr>
          <w:rFonts w:hint="eastAsia" w:ascii="仿宋_GB2312" w:hAnsi="仿宋_GB2312" w:eastAsia="仿宋_GB2312" w:cs="仿宋_GB2312"/>
          <w:kern w:val="0"/>
          <w:sz w:val="22"/>
          <w:szCs w:val="22"/>
        </w:rPr>
        <w:t>及时处理发现的各种安全隐患。</w:t>
      </w:r>
    </w:p>
    <w:p>
      <w:pPr>
        <w:keepNext w:val="0"/>
        <w:keepLines w:val="0"/>
        <w:pageBreakBefore w:val="0"/>
        <w:widowControl w:val="0"/>
        <w:kinsoku/>
        <w:overflowPunct/>
        <w:autoSpaceDE w:val="0"/>
        <w:autoSpaceDN w:val="0"/>
        <w:bidi w:val="0"/>
        <w:adjustRightInd w:val="0"/>
        <w:snapToGrid/>
        <w:spacing w:line="400" w:lineRule="exact"/>
        <w:ind w:firstLine="442" w:firstLineChars="200"/>
        <w:textAlignment w:val="auto"/>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二、</w:t>
      </w:r>
      <w:r>
        <w:rPr>
          <w:rFonts w:hint="eastAsia" w:ascii="仿宋_GB2312" w:hAnsi="仿宋_GB2312" w:eastAsia="仿宋_GB2312" w:cs="仿宋_GB2312"/>
          <w:b/>
          <w:bCs/>
          <w:kern w:val="0"/>
          <w:sz w:val="22"/>
          <w:szCs w:val="22"/>
          <w:lang w:val="en-US" w:eastAsia="zh-CN"/>
        </w:rPr>
        <w:t>乙方</w:t>
      </w:r>
      <w:r>
        <w:rPr>
          <w:rFonts w:hint="eastAsia" w:ascii="仿宋_GB2312" w:hAnsi="仿宋_GB2312" w:eastAsia="仿宋_GB2312" w:cs="仿宋_GB2312"/>
          <w:b/>
          <w:bCs/>
          <w:kern w:val="0"/>
          <w:sz w:val="22"/>
          <w:szCs w:val="22"/>
        </w:rPr>
        <w:t>职责</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1．严格遵守国家有关安全生产的法律法规中有关安全生产的规定，认真执行</w:t>
      </w:r>
      <w:r>
        <w:rPr>
          <w:rFonts w:hint="eastAsia" w:ascii="仿宋_GB2312" w:hAnsi="仿宋_GB2312" w:eastAsia="仿宋_GB2312" w:cs="仿宋_GB2312"/>
          <w:kern w:val="0"/>
          <w:sz w:val="22"/>
          <w:szCs w:val="22"/>
          <w:lang w:val="en-US" w:eastAsia="zh-CN"/>
        </w:rPr>
        <w:t>劳务</w:t>
      </w:r>
      <w:r>
        <w:rPr>
          <w:rFonts w:hint="eastAsia" w:ascii="仿宋_GB2312" w:hAnsi="仿宋_GB2312" w:eastAsia="仿宋_GB2312" w:cs="仿宋_GB2312"/>
          <w:kern w:val="0"/>
          <w:sz w:val="22"/>
          <w:szCs w:val="22"/>
        </w:rPr>
        <w:t>合同中的有关安全要求。</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r>
        <w:rPr>
          <w:rFonts w:hint="eastAsia" w:ascii="仿宋_GB2312" w:hAnsi="仿宋_GB2312" w:eastAsia="仿宋_GB2312" w:cs="仿宋_GB2312"/>
          <w:kern w:val="0"/>
          <w:sz w:val="22"/>
          <w:szCs w:val="22"/>
          <w:lang w:eastAsia="zh-CN"/>
        </w:rPr>
        <w:t>乙方</w:t>
      </w:r>
      <w:r>
        <w:rPr>
          <w:rFonts w:hint="eastAsia" w:ascii="仿宋_GB2312" w:hAnsi="仿宋_GB2312" w:eastAsia="仿宋_GB2312" w:cs="仿宋_GB2312"/>
          <w:kern w:val="0"/>
          <w:sz w:val="22"/>
          <w:szCs w:val="22"/>
        </w:rPr>
        <w:t>在任何时候都应采取各种合理的预防措施，防止其员工发生任何违法、违禁、暴力或妨碍治安的行为。</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5</w:t>
      </w:r>
      <w:r>
        <w:rPr>
          <w:rFonts w:hint="eastAsia" w:ascii="仿宋_GB2312" w:hAnsi="仿宋_GB2312" w:eastAsia="仿宋_GB2312" w:cs="仿宋_GB2312"/>
          <w:kern w:val="0"/>
          <w:sz w:val="22"/>
          <w:szCs w:val="22"/>
        </w:rPr>
        <w:t>．对于易燃易爆的材料除应专门妥善保管之外，还应配备有足够的消防设施，所有施工人员都应熟悉消防设备的性能和使用方法；</w:t>
      </w:r>
      <w:r>
        <w:rPr>
          <w:rFonts w:hint="eastAsia" w:ascii="仿宋_GB2312" w:hAnsi="仿宋_GB2312" w:eastAsia="仿宋_GB2312" w:cs="仿宋_GB2312"/>
          <w:kern w:val="0"/>
          <w:sz w:val="22"/>
          <w:szCs w:val="22"/>
          <w:lang w:eastAsia="zh-CN"/>
        </w:rPr>
        <w:t>乙方</w:t>
      </w:r>
      <w:r>
        <w:rPr>
          <w:rFonts w:hint="eastAsia" w:ascii="仿宋_GB2312" w:hAnsi="仿宋_GB2312" w:eastAsia="仿宋_GB2312" w:cs="仿宋_GB2312"/>
          <w:kern w:val="0"/>
          <w:sz w:val="22"/>
          <w:szCs w:val="22"/>
        </w:rPr>
        <w:t>不得将任何种类的爆炸物给予、易货或以其他方式转让给任何其他人，或允许、容忍上述同样行为。</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6</w:t>
      </w:r>
      <w:r>
        <w:rPr>
          <w:rFonts w:hint="eastAsia" w:ascii="仿宋_GB2312" w:hAnsi="仿宋_GB2312" w:eastAsia="仿宋_GB2312" w:cs="仿宋_GB2312"/>
          <w:kern w:val="0"/>
          <w:sz w:val="22"/>
          <w:szCs w:val="22"/>
        </w:rPr>
        <w:t>．操作人员上岗，必须按规定穿戴防护用品。施工负责人和安全检查员应随时检查劳动防护用品的穿戴情况，不按规定穿戴防护用品的人员不得上岗。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7</w:t>
      </w:r>
      <w:r>
        <w:rPr>
          <w:rFonts w:hint="eastAsia" w:ascii="仿宋_GB2312" w:hAnsi="仿宋_GB2312" w:eastAsia="仿宋_GB2312" w:cs="仿宋_GB2312"/>
          <w:kern w:val="0"/>
          <w:sz w:val="22"/>
          <w:szCs w:val="22"/>
        </w:rPr>
        <w:t>．所有施工机具设备和高空作业的设备均应定期检查，并有安全员的签字记录，保证其经常处于完好状态；不合格的机具、设备和劳动保护用品严禁使用。</w:t>
      </w:r>
    </w:p>
    <w:p>
      <w:pPr>
        <w:keepNext w:val="0"/>
        <w:keepLines w:val="0"/>
        <w:pageBreakBefore w:val="0"/>
        <w:widowControl w:val="0"/>
        <w:kinsoku/>
        <w:overflowPunct/>
        <w:autoSpaceDE w:val="0"/>
        <w:autoSpaceDN w:val="0"/>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．施工中采用新技术、新工艺、新设备、新材料时，必须制定相应的安全技术措施，施工现场必须具有相关的安全标志牌。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9.乙方严禁将承包的工程或部分工程转包或者违法分包。否则所发生安全事故，由乙方承担全部安全生产责任。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10.乙方人员应当遵守甲方规章制度，接受甲方安全检查、监督，对违反甲方有关安全管理制度及规定的行为，甲方有权责令乙方立即停止并给予考核。</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11.乙方应具有安全管理组织体制（对特种作业的项目乙方必须出具有效的资质证书），在甲方施工、检修、劳务等现场作业期间，乙方应指派专（兼）职安全人员，全面负责项目的安全、现场、消防工作。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12.乙方人员进入甲方施工（检修、劳务）现场前，必须到甲方安全监督管理部、保卫科办好一切入厂手续，接受安全教育，严禁“三无”人员进入甲方工作区域，乙方人员必须按在甲方登记备案的名册人员进入作业区域，未经甲方认可不得擅自更换，否则所发生安全事故，由乙方承担全部安全生产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13.乙方各类作业人员必须具有相应的安全技术素质，特种作业人员必须持有有效的特种作业操作证方准上岗，所使用的特种作业设备必须取得有效的特种作业设备强制安全检验合格证，方准现场使用。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14.乙方人员在作业期间应当接受甲方的安全监督检查，经查证发现的安全隐患，乙方必须立即采取有效措施予以整改或纠正，否则甲方有权现场勒令停工。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15.乙方人员在甲方作业期间，必须按工种需要正确穿戴好劳保防护用品，同时应严格遵守甲方各项安全生产管理制度。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16.乙方管理人员在员工作业前应先熟悉现场，并对所处区域的作业环境可能存在的危险因素、预防措施给员工进行交底，同事对使用的设施设备等，负有认真检查和确认的义务，严禁设施、设备等带病作业，否则因此而产生的一切法律后果，由乙方承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17.乙方人员在作业现场不得擅自动用或操作甲方的设备和机具，否则按本协议约定视为违约，承担违约金，因此酿成的后果由乙方负责。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18.乙方人员凡高空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生等和在作业面下部增加安全防护网，严禁在没有安全技术措施的情况下冒险踩踏和作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19.乙方在作业期间自备的设备必须符合安全要求，如需借用（租赁）甲方设备、工器具，应由双方协商办理租借手续，借用方应保证设备、工器具符合安全要求，租借方必须经行验收确认并作好书面记录，租借方一经接受使用，表示该设备（工器具）完好无安全隐患，若造成安全事故，后果全有租借方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20.乙方作业期间的用电必须取得甲方同意，将电源接入器作业场所的总配电箱，必须有防止影响上一级电源的过流断路保护，乙方不得私自拉接电源，否则按本协议约定承担违约金</w:t>
      </w:r>
      <w:r>
        <w:rPr>
          <w:rFonts w:hint="eastAsia" w:ascii="仿宋_GB2312" w:hAnsi="仿宋_GB2312" w:eastAsia="仿宋_GB2312" w:cs="仿宋_GB2312"/>
          <w:b w:val="0"/>
          <w:i w:val="0"/>
          <w:caps w:val="0"/>
          <w:color w:val="000000"/>
          <w:spacing w:val="0"/>
          <w:kern w:val="0"/>
          <w:sz w:val="22"/>
          <w:szCs w:val="22"/>
          <w:u w:val="single"/>
          <w:shd w:val="clear" w:color="auto" w:fill="FFFFFF"/>
          <w:lang w:val="en-US" w:eastAsia="zh-CN" w:bidi="ar"/>
        </w:rPr>
        <w:t>同业主合同</w:t>
      </w: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21.在易燃、易爆、有毒有害危险区域进行施工作业，甲乙双方必须严格执行有关专业管理制度，采取有效的预防措施，并办理相关的开工或动火手续，乙方必须提前将安全预防措施报送甲方在危险区域范围内的单位和甲方安全监督管理部审核，甲方在收到其报送资料后，应当于48小时内作出是否同意的决定。</w:t>
      </w:r>
    </w:p>
    <w:p>
      <w:pPr>
        <w:pStyle w:val="7"/>
        <w:keepNext w:val="0"/>
        <w:keepLines w:val="0"/>
        <w:pageBreakBefore w:val="0"/>
        <w:kinsoku/>
        <w:overflowPunct/>
        <w:bidi w:val="0"/>
        <w:spacing w:line="400" w:lineRule="exact"/>
        <w:ind w:firstLine="440" w:firstLineChars="200"/>
        <w:textAlignment w:val="auto"/>
        <w:rPr>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22.乙方人员在施工（检修、劳务）期间发生的伤害事故由乙方负全部责任，与甲方无关。</w:t>
      </w:r>
    </w:p>
    <w:p>
      <w:pPr>
        <w:keepNext w:val="0"/>
        <w:keepLines w:val="0"/>
        <w:pageBreakBefore w:val="0"/>
        <w:widowControl w:val="0"/>
        <w:kinsoku/>
        <w:overflowPunct/>
        <w:autoSpaceDE w:val="0"/>
        <w:autoSpaceDN w:val="0"/>
        <w:bidi w:val="0"/>
        <w:adjustRightInd w:val="0"/>
        <w:snapToGrid/>
        <w:spacing w:line="400" w:lineRule="exact"/>
        <w:ind w:firstLine="442" w:firstLineChars="200"/>
        <w:textAlignment w:val="auto"/>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三、违约责任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1.本协议履行期间，若因一方违约行为发生安全事故，违约方按其与对方所签订的相关业务合同标的金额（指合同结算金额）</w:t>
      </w:r>
      <w:r>
        <w:rPr>
          <w:rFonts w:hint="eastAsia" w:ascii="仿宋_GB2312" w:hAnsi="仿宋_GB2312" w:eastAsia="仿宋_GB2312" w:cs="仿宋_GB2312"/>
          <w:b w:val="0"/>
          <w:i w:val="0"/>
          <w:caps w:val="0"/>
          <w:color w:val="000000"/>
          <w:spacing w:val="0"/>
          <w:kern w:val="0"/>
          <w:sz w:val="22"/>
          <w:szCs w:val="22"/>
          <w:u w:val="single"/>
          <w:shd w:val="clear" w:color="auto" w:fill="FFFFFF"/>
          <w:lang w:val="en-US" w:eastAsia="zh-CN" w:bidi="ar"/>
        </w:rPr>
        <w:t>同业主合同</w:t>
      </w: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承担违约金。并向守约方赔偿因安全事故所造成的全部经济损失。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2.因乙方管理或操作不当产生的安全隐患或安全事故，每发现一起，乙方承担违约金</w:t>
      </w:r>
      <w:r>
        <w:rPr>
          <w:rFonts w:hint="eastAsia" w:ascii="仿宋_GB2312" w:hAnsi="仿宋_GB2312" w:eastAsia="仿宋_GB2312" w:cs="仿宋_GB2312"/>
          <w:b w:val="0"/>
          <w:i w:val="0"/>
          <w:caps w:val="0"/>
          <w:color w:val="000000"/>
          <w:spacing w:val="0"/>
          <w:kern w:val="0"/>
          <w:sz w:val="22"/>
          <w:szCs w:val="22"/>
          <w:u w:val="single"/>
          <w:shd w:val="clear" w:color="auto" w:fill="FFFFFF"/>
          <w:lang w:val="en-US" w:eastAsia="zh-CN" w:bidi="ar"/>
        </w:rPr>
        <w:t>同业主合同</w:t>
      </w: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ascii="仿宋_GB2312" w:hAnsi="仿宋_GB2312" w:eastAsia="仿宋_GB2312" w:cs="仿宋_GB2312"/>
          <w:b w:val="0"/>
          <w:i w:val="0"/>
          <w:caps w:val="0"/>
          <w:color w:val="000000"/>
          <w:spacing w:val="0"/>
          <w:sz w:val="22"/>
          <w:szCs w:val="22"/>
        </w:rPr>
      </w:pPr>
      <w:r>
        <w:rPr>
          <w:rFonts w:hint="eastAsia" w:ascii="仿宋_GB2312" w:hAnsi="仿宋_GB2312" w:eastAsia="仿宋_GB2312" w:cs="仿宋_GB2312"/>
          <w:b w:val="0"/>
          <w:i w:val="0"/>
          <w:caps w:val="0"/>
          <w:color w:val="000000"/>
          <w:spacing w:val="0"/>
          <w:kern w:val="0"/>
          <w:sz w:val="22"/>
          <w:szCs w:val="22"/>
          <w:shd w:val="clear" w:color="auto" w:fill="FFFFFF"/>
          <w:lang w:val="en-US" w:eastAsia="zh-CN" w:bidi="ar"/>
        </w:rPr>
        <w:t>3.因乙方违约而发生的违约金和赔偿金，甲方可在应付乙方的相关款中予以扣减。</w:t>
      </w:r>
    </w:p>
    <w:p>
      <w:pPr>
        <w:keepNext w:val="0"/>
        <w:keepLines w:val="0"/>
        <w:pageBreakBefore w:val="0"/>
        <w:widowControl w:val="0"/>
        <w:kinsoku/>
        <w:overflowPunct/>
        <w:bidi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sz w:val="22"/>
          <w:szCs w:val="22"/>
        </w:rPr>
        <w:t>本协议一式陆份，甲方四份乙方两份。</w:t>
      </w:r>
      <w:r>
        <w:rPr>
          <w:rFonts w:hint="eastAsia" w:ascii="仿宋_GB2312" w:hAnsi="仿宋_GB2312" w:eastAsia="仿宋_GB2312" w:cs="仿宋_GB2312"/>
          <w:kern w:val="0"/>
          <w:sz w:val="22"/>
          <w:szCs w:val="22"/>
        </w:rPr>
        <w:t>由双方法定代表人或其授权的代理人签署与加盖公章后生效，全部工程竣工验收后失效。</w:t>
      </w:r>
    </w:p>
    <w:p>
      <w:pPr>
        <w:keepNext w:val="0"/>
        <w:keepLines w:val="0"/>
        <w:pageBreakBefore w:val="0"/>
        <w:widowControl w:val="0"/>
        <w:kinsoku/>
        <w:overflowPunct/>
        <w:bidi w:val="0"/>
        <w:snapToGrid/>
        <w:spacing w:line="400" w:lineRule="exact"/>
        <w:textAlignment w:val="auto"/>
        <w:rPr>
          <w:rFonts w:ascii="仿宋_GB2312" w:hAnsi="仿宋_GB2312" w:eastAsia="仿宋_GB2312" w:cs="仿宋_GB2312"/>
          <w:kern w:val="0"/>
          <w:sz w:val="22"/>
          <w:szCs w:val="22"/>
        </w:rPr>
      </w:pPr>
    </w:p>
    <w:p>
      <w:pPr>
        <w:keepNext w:val="0"/>
        <w:keepLines w:val="0"/>
        <w:pageBreakBefore w:val="0"/>
        <w:widowControl w:val="0"/>
        <w:kinsoku/>
        <w:overflowPunct/>
        <w:bidi w:val="0"/>
        <w:snapToGrid/>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甲方：                              乙方：                 </w:t>
      </w:r>
    </w:p>
    <w:p>
      <w:pPr>
        <w:keepNext w:val="0"/>
        <w:keepLines w:val="0"/>
        <w:pageBreakBefore w:val="0"/>
        <w:widowControl w:val="0"/>
        <w:kinsoku/>
        <w:overflowPunct/>
        <w:bidi w:val="0"/>
        <w:snapToGrid/>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法定代表人或                       法定代表人或</w:t>
      </w:r>
    </w:p>
    <w:p>
      <w:pPr>
        <w:keepNext w:val="0"/>
        <w:keepLines w:val="0"/>
        <w:pageBreakBefore w:val="0"/>
        <w:widowControl w:val="0"/>
        <w:kinsoku/>
        <w:overflowPunct/>
        <w:bidi w:val="0"/>
        <w:snapToGrid/>
        <w:spacing w:line="400" w:lineRule="exact"/>
        <w:textAlignment w:val="auto"/>
        <w:rPr>
          <w:rFonts w:hint="eastAsia" w:ascii="仿宋" w:hAnsi="仿宋" w:eastAsia="仿宋" w:cs="仿宋"/>
          <w:b/>
          <w:spacing w:val="40"/>
          <w:sz w:val="32"/>
          <w:szCs w:val="32"/>
        </w:rPr>
      </w:pPr>
      <w:r>
        <w:rPr>
          <w:rFonts w:hint="eastAsia" w:ascii="仿宋_GB2312" w:hAnsi="仿宋_GB2312" w:eastAsia="仿宋_GB2312" w:cs="仿宋_GB2312"/>
          <w:color w:val="000000"/>
          <w:sz w:val="22"/>
          <w:szCs w:val="22"/>
        </w:rPr>
        <w:t>委托代理人：(签字)                 委托代理人：(签字)</w:t>
      </w: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both"/>
        <w:textAlignment w:val="auto"/>
        <w:rPr>
          <w:rFonts w:hint="eastAsia" w:ascii="仿宋" w:hAnsi="仿宋" w:eastAsia="仿宋" w:cs="仿宋"/>
          <w:b/>
          <w:spacing w:val="40"/>
          <w:sz w:val="32"/>
          <w:szCs w:val="32"/>
        </w:rPr>
      </w:pPr>
    </w:p>
    <w:p>
      <w:pPr>
        <w:keepNext w:val="0"/>
        <w:keepLines w:val="0"/>
        <w:pageBreakBefore w:val="0"/>
        <w:widowControl w:val="0"/>
        <w:kinsoku/>
        <w:overflowPunct/>
        <w:bidi w:val="0"/>
        <w:snapToGrid/>
        <w:spacing w:line="400" w:lineRule="exact"/>
        <w:jc w:val="center"/>
        <w:textAlignment w:val="auto"/>
        <w:rPr>
          <w:rFonts w:ascii="仿宋" w:hAnsi="仿宋" w:eastAsia="仿宋" w:cs="仿宋"/>
          <w:b/>
          <w:spacing w:val="40"/>
          <w:sz w:val="32"/>
          <w:szCs w:val="32"/>
        </w:rPr>
      </w:pPr>
      <w:r>
        <w:rPr>
          <w:rFonts w:hint="eastAsia" w:ascii="仿宋" w:hAnsi="仿宋" w:eastAsia="仿宋" w:cs="仿宋"/>
          <w:b/>
          <w:spacing w:val="40"/>
          <w:sz w:val="32"/>
          <w:szCs w:val="32"/>
        </w:rPr>
        <w:t>廉政合同</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为做好</w:t>
      </w:r>
      <w:r>
        <w:rPr>
          <w:rFonts w:hint="eastAsia" w:ascii="仿宋_GB2312" w:hAnsi="仿宋_GB2312" w:eastAsia="仿宋_GB2312" w:cs="仿宋_GB2312"/>
          <w:kern w:val="0"/>
          <w:sz w:val="22"/>
          <w:szCs w:val="22"/>
          <w:u w:val="single"/>
        </w:rPr>
        <w:t xml:space="preserve"> </w:t>
      </w:r>
      <w:r>
        <w:rPr>
          <w:rFonts w:hint="eastAsia" w:ascii="仿宋_GB2312" w:hAnsi="仿宋_GB2312" w:eastAsia="仿宋_GB2312" w:cs="仿宋_GB2312"/>
          <w:sz w:val="22"/>
          <w:szCs w:val="22"/>
          <w:u w:val="single"/>
          <w:lang w:eastAsia="zh-CN"/>
        </w:rPr>
        <w:t xml:space="preserve">                  </w:t>
      </w:r>
      <w:r>
        <w:rPr>
          <w:rFonts w:hint="eastAsia" w:ascii="仿宋_GB2312" w:hAnsi="仿宋_GB2312" w:eastAsia="仿宋_GB2312" w:cs="仿宋_GB2312"/>
          <w:kern w:val="0"/>
          <w:sz w:val="22"/>
          <w:szCs w:val="22"/>
          <w:u w:val="single"/>
        </w:rPr>
        <w:t xml:space="preserve"> </w:t>
      </w:r>
      <w:r>
        <w:rPr>
          <w:rFonts w:hint="eastAsia" w:ascii="仿宋_GB2312" w:hAnsi="仿宋_GB2312" w:eastAsia="仿宋_GB2312" w:cs="仿宋_GB2312"/>
          <w:kern w:val="0"/>
          <w:sz w:val="22"/>
          <w:szCs w:val="22"/>
        </w:rPr>
        <w:t>施工中的廉政工作，根据有关廉政建设规定，工程的项目法人</w:t>
      </w:r>
      <w:r>
        <w:rPr>
          <w:rFonts w:hint="eastAsia" w:ascii="仿宋_GB2312" w:hAnsi="仿宋_GB2312" w:eastAsia="仿宋_GB2312" w:cs="仿宋_GB2312"/>
          <w:color w:val="0C0C0C"/>
          <w:sz w:val="22"/>
          <w:szCs w:val="22"/>
          <w:u w:val="single"/>
        </w:rPr>
        <w:t>安徽省经工建设集团有限公司</w:t>
      </w:r>
      <w:r>
        <w:rPr>
          <w:rFonts w:hint="eastAsia" w:ascii="仿宋_GB2312" w:hAnsi="仿宋_GB2312" w:eastAsia="仿宋_GB2312" w:cs="仿宋_GB2312"/>
          <w:kern w:val="0"/>
          <w:sz w:val="22"/>
          <w:szCs w:val="22"/>
        </w:rPr>
        <w:t>（以下简称“甲方”）与施工单位</w:t>
      </w:r>
      <w:r>
        <w:rPr>
          <w:rFonts w:hint="eastAsia" w:ascii="仿宋_GB2312" w:hAnsi="仿宋_GB2312" w:eastAsia="仿宋_GB2312" w:cs="仿宋_GB2312"/>
          <w:color w:val="0C0C0C"/>
          <w:sz w:val="22"/>
          <w:szCs w:val="22"/>
          <w:u w:val="single"/>
          <w:lang w:val="en-US" w:eastAsia="zh-CN"/>
        </w:rPr>
        <w:t xml:space="preserve">         </w:t>
      </w:r>
      <w:r>
        <w:rPr>
          <w:rFonts w:hint="eastAsia" w:ascii="仿宋_GB2312" w:hAnsi="仿宋_GB2312" w:eastAsia="仿宋_GB2312" w:cs="仿宋_GB2312"/>
          <w:color w:val="0C0C0C"/>
          <w:sz w:val="22"/>
          <w:szCs w:val="22"/>
          <w:u w:val="single"/>
        </w:rPr>
        <w:t xml:space="preserve"> </w:t>
      </w:r>
      <w:r>
        <w:rPr>
          <w:rFonts w:hint="eastAsia" w:ascii="仿宋_GB2312" w:hAnsi="仿宋_GB2312" w:eastAsia="仿宋_GB2312" w:cs="仿宋_GB2312"/>
          <w:kern w:val="0"/>
          <w:sz w:val="22"/>
          <w:szCs w:val="22"/>
        </w:rPr>
        <w:t>（以下简称“乙方”），特订立如下合同。</w:t>
      </w:r>
    </w:p>
    <w:p>
      <w:pPr>
        <w:keepNext w:val="0"/>
        <w:keepLines w:val="0"/>
        <w:pageBreakBefore w:val="0"/>
        <w:widowControl w:val="0"/>
        <w:kinsoku/>
        <w:wordWrap w:val="0"/>
        <w:overflowPunct/>
        <w:topLinePunct/>
        <w:autoSpaceDE/>
        <w:autoSpaceDN/>
        <w:bidi w:val="0"/>
        <w:adjustRightInd w:val="0"/>
        <w:snapToGrid/>
        <w:spacing w:line="400" w:lineRule="exact"/>
        <w:ind w:firstLine="442" w:firstLineChars="200"/>
        <w:textAlignment w:val="auto"/>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一、甲乙双方的权利和义务</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1.严格遵守国家有关法律法规；严格执行</w:t>
      </w:r>
      <w:r>
        <w:rPr>
          <w:rFonts w:hint="eastAsia" w:ascii="仿宋_GB2312" w:hAnsi="仿宋_GB2312" w:eastAsia="仿宋_GB2312" w:cs="仿宋_GB2312"/>
          <w:kern w:val="0"/>
          <w:sz w:val="22"/>
          <w:szCs w:val="22"/>
          <w:u w:val="single"/>
        </w:rPr>
        <w:t xml:space="preserve">                 </w:t>
      </w:r>
      <w:r>
        <w:rPr>
          <w:rFonts w:hint="eastAsia" w:ascii="仿宋_GB2312" w:hAnsi="仿宋_GB2312" w:eastAsia="仿宋_GB2312" w:cs="仿宋_GB2312"/>
          <w:kern w:val="0"/>
          <w:sz w:val="22"/>
          <w:szCs w:val="22"/>
        </w:rPr>
        <w:t>合同文件，自觉按合同办事。</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2.双方应坚持公开、公正、诚信、透明的原则（法律认定的商业秘密和合同文件另有规定除外），不得损害国家和集体利益，违反工程建设管理规章制度。</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3.建立健全廉政制度，开展廉政教育，设立廉政告示牌，公布举报电话，监督并认真查处违法违纪行为。</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4.发现对方有违反廉政规定的行为，应及时提醒对方纠正；发现对方严重违反合同条款，应向其上级有关部门举报，要求反馈处理结果。</w:t>
      </w:r>
    </w:p>
    <w:p>
      <w:pPr>
        <w:keepNext w:val="0"/>
        <w:keepLines w:val="0"/>
        <w:pageBreakBefore w:val="0"/>
        <w:widowControl w:val="0"/>
        <w:kinsoku/>
        <w:wordWrap w:val="0"/>
        <w:overflowPunct/>
        <w:topLinePunct/>
        <w:autoSpaceDE/>
        <w:autoSpaceDN/>
        <w:bidi w:val="0"/>
        <w:adjustRightInd w:val="0"/>
        <w:snapToGrid/>
        <w:spacing w:line="400" w:lineRule="exact"/>
        <w:ind w:firstLine="442" w:firstLineChars="200"/>
        <w:textAlignment w:val="auto"/>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二、甲方的义务</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1.甲方及其工作人员不得索要或接受乙方的礼金、有价证券和贵重物品，不得在乙方报销任何费用。</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2.甲方工作人员不得参加乙方安排的超标准宴请和娱乐活动；不得接受乙方提供的通讯工具、交通工具等。</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3.甲方工作人员及其配偶、子女不得从事与甲方工程有关的材料设备供应、工程分包、劳务等经济活动等。</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4.甲方及其工作人员不得以任何理由向乙方推荐或推销材料，不得要求乙方购买合同规定外的材料和设备。</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5.甲方工作人员要秉公办事，不准营私舞弊，不准利用职权从事各种个人有偿中介活动和安排个人施工队伍。</w:t>
      </w:r>
    </w:p>
    <w:p>
      <w:pPr>
        <w:keepNext w:val="0"/>
        <w:keepLines w:val="0"/>
        <w:pageBreakBefore w:val="0"/>
        <w:widowControl w:val="0"/>
        <w:kinsoku/>
        <w:wordWrap w:val="0"/>
        <w:overflowPunct/>
        <w:topLinePunct/>
        <w:autoSpaceDE/>
        <w:autoSpaceDN/>
        <w:bidi w:val="0"/>
        <w:adjustRightInd w:val="0"/>
        <w:snapToGrid/>
        <w:spacing w:line="400" w:lineRule="exact"/>
        <w:ind w:firstLine="442" w:firstLineChars="200"/>
        <w:textAlignment w:val="auto"/>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三、乙方义务</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1.乙方不得向甲方及其工作人员行贿或馈赠礼金、有价证券、贵重礼品。</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2.乙方不得为甲方及其工作人员报销任何费用。</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3.乙方不得安排甲方工作人员参加超标准宴请及娱乐活动。</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4.乙方不得为甲方单位和个人购置或提供通讯工具、交通工具等。</w:t>
      </w:r>
    </w:p>
    <w:p>
      <w:pPr>
        <w:keepNext w:val="0"/>
        <w:keepLines w:val="0"/>
        <w:pageBreakBefore w:val="0"/>
        <w:widowControl w:val="0"/>
        <w:kinsoku/>
        <w:wordWrap w:val="0"/>
        <w:overflowPunct/>
        <w:topLinePunct/>
        <w:autoSpaceDE/>
        <w:autoSpaceDN/>
        <w:bidi w:val="0"/>
        <w:adjustRightInd w:val="0"/>
        <w:snapToGrid/>
        <w:spacing w:line="400" w:lineRule="exact"/>
        <w:ind w:firstLine="442" w:firstLineChars="200"/>
        <w:textAlignment w:val="auto"/>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四、违约责任</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1.甲方及其工作人员违反本合同第一、二条，按管理权限，依据有关规定给予党纪、政纪或组织处理；涉嫌犯罪的，移交司法机关追究刑事责任；给乙方单位造成经济损失的，应予以赔偿。</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2.乙方及其工作人员违反本合同第一、三条，按管理权限，依据有关规定给予党纪、政纪组织处理；给甲方单位造成经济损失的，应予以赔偿；情节严重的，按有关规定执行。</w:t>
      </w:r>
    </w:p>
    <w:p>
      <w:pPr>
        <w:keepNext w:val="0"/>
        <w:keepLines w:val="0"/>
        <w:pageBreakBefore w:val="0"/>
        <w:widowControl w:val="0"/>
        <w:kinsoku/>
        <w:wordWrap w:val="0"/>
        <w:overflowPunct/>
        <w:topLinePunct/>
        <w:autoSpaceDE/>
        <w:autoSpaceDN/>
        <w:bidi w:val="0"/>
        <w:adjustRightInd w:val="0"/>
        <w:snapToGrid/>
        <w:spacing w:line="400" w:lineRule="exact"/>
        <w:ind w:firstLine="442" w:firstLineChars="200"/>
        <w:textAlignment w:val="auto"/>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五、双方约定</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本合同由双方或双方上级单位的纪检监察机关负责监督执行。</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六、本合同有效期为甲乙双方签署之日起至该工程项目竣工验收后止。</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七、本合同作为</w:t>
      </w:r>
      <w:r>
        <w:rPr>
          <w:rFonts w:hint="eastAsia" w:ascii="仿宋_GB2312" w:hAnsi="仿宋_GB2312" w:eastAsia="仿宋_GB2312" w:cs="仿宋_GB2312"/>
          <w:kern w:val="0"/>
          <w:sz w:val="22"/>
          <w:szCs w:val="22"/>
          <w:u w:val="single"/>
        </w:rPr>
        <w:t xml:space="preserve"> </w:t>
      </w:r>
      <w:r>
        <w:rPr>
          <w:rFonts w:hint="eastAsia" w:ascii="仿宋_GB2312" w:hAnsi="仿宋_GB2312" w:eastAsia="仿宋_GB2312" w:cs="仿宋_GB2312"/>
          <w:sz w:val="22"/>
          <w:szCs w:val="22"/>
          <w:u w:val="single"/>
          <w:lang w:eastAsia="zh-CN"/>
        </w:rPr>
        <w:t xml:space="preserve">                    </w:t>
      </w:r>
      <w:r>
        <w:rPr>
          <w:rFonts w:hint="eastAsia" w:ascii="仿宋_GB2312" w:hAnsi="仿宋_GB2312" w:eastAsia="仿宋_GB2312" w:cs="仿宋_GB2312"/>
          <w:kern w:val="0"/>
          <w:sz w:val="22"/>
          <w:szCs w:val="22"/>
          <w:u w:val="single"/>
        </w:rPr>
        <w:t xml:space="preserve"> </w:t>
      </w:r>
      <w:r>
        <w:rPr>
          <w:rFonts w:hint="eastAsia" w:ascii="仿宋_GB2312" w:hAnsi="仿宋_GB2312" w:eastAsia="仿宋_GB2312" w:cs="仿宋_GB2312"/>
          <w:kern w:val="0"/>
          <w:sz w:val="22"/>
          <w:szCs w:val="22"/>
        </w:rPr>
        <w:t>施工合同的附件，与工程施工合同具有同等的法律效力，经合同双方签署立即生效。</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w:t>
      </w:r>
      <w:r>
        <w:rPr>
          <w:rFonts w:hint="eastAsia" w:ascii="仿宋_GB2312" w:hAnsi="仿宋_GB2312" w:eastAsia="仿宋_GB2312" w:cs="仿宋_GB2312"/>
          <w:sz w:val="22"/>
          <w:szCs w:val="22"/>
        </w:rPr>
        <w:t>本协议一式陆份，甲方四份乙方两份。</w:t>
      </w:r>
      <w:r>
        <w:rPr>
          <w:rFonts w:hint="eastAsia" w:ascii="仿宋_GB2312" w:hAnsi="仿宋_GB2312" w:eastAsia="仿宋_GB2312" w:cs="仿宋_GB2312"/>
          <w:kern w:val="0"/>
          <w:sz w:val="22"/>
          <w:szCs w:val="22"/>
        </w:rPr>
        <w:t>由双方法定代表人或其授权的代理人签署与加盖公章后生效。</w:t>
      </w:r>
    </w:p>
    <w:p>
      <w:pPr>
        <w:keepNext w:val="0"/>
        <w:keepLines w:val="0"/>
        <w:pageBreakBefore w:val="0"/>
        <w:widowControl w:val="0"/>
        <w:kinsoku/>
        <w:wordWrap w:val="0"/>
        <w:overflowPunct/>
        <w:topLinePunct/>
        <w:autoSpaceDE/>
        <w:autoSpaceDN/>
        <w:bidi w:val="0"/>
        <w:adjustRightInd w:val="0"/>
        <w:snapToGrid/>
        <w:spacing w:line="400" w:lineRule="exact"/>
        <w:ind w:firstLine="440" w:firstLineChars="200"/>
        <w:textAlignment w:val="auto"/>
        <w:rPr>
          <w:rFonts w:ascii="仿宋_GB2312" w:hAnsi="仿宋_GB2312" w:eastAsia="仿宋_GB2312" w:cs="仿宋_GB2312"/>
          <w:kern w:val="0"/>
          <w:sz w:val="22"/>
          <w:szCs w:val="22"/>
        </w:rPr>
      </w:pPr>
    </w:p>
    <w:p>
      <w:pPr>
        <w:keepNext w:val="0"/>
        <w:keepLines w:val="0"/>
        <w:pageBreakBefore w:val="0"/>
        <w:widowControl w:val="0"/>
        <w:kinsoku/>
        <w:wordWrap w:val="0"/>
        <w:overflowPunct/>
        <w:topLinePunct/>
        <w:autoSpaceDE/>
        <w:autoSpaceDN/>
        <w:bidi w:val="0"/>
        <w:snapToGrid/>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甲方：                              乙方：                 </w:t>
      </w:r>
    </w:p>
    <w:p>
      <w:pPr>
        <w:keepNext w:val="0"/>
        <w:keepLines w:val="0"/>
        <w:pageBreakBefore w:val="0"/>
        <w:widowControl w:val="0"/>
        <w:kinsoku/>
        <w:wordWrap w:val="0"/>
        <w:overflowPunct/>
        <w:topLinePunct/>
        <w:autoSpaceDE/>
        <w:autoSpaceDN/>
        <w:bidi w:val="0"/>
        <w:snapToGrid/>
        <w:spacing w:line="400" w:lineRule="exact"/>
        <w:textAlignment w:val="auto"/>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法定代表人或                       法定代表人或</w:t>
      </w:r>
    </w:p>
    <w:p>
      <w:pPr>
        <w:keepNext w:val="0"/>
        <w:keepLines w:val="0"/>
        <w:pageBreakBefore w:val="0"/>
        <w:widowControl w:val="0"/>
        <w:kinsoku/>
        <w:wordWrap w:val="0"/>
        <w:overflowPunct/>
        <w:topLinePunct/>
        <w:autoSpaceDE/>
        <w:autoSpaceDN/>
        <w:bidi w:val="0"/>
        <w:snapToGrid/>
        <w:spacing w:line="400" w:lineRule="exact"/>
        <w:textAlignment w:val="auto"/>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委托代理人：(签字)                 委托代理人：(签字)</w:t>
      </w: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keepNext w:val="0"/>
        <w:keepLines w:val="0"/>
        <w:pageBreakBefore w:val="0"/>
        <w:kinsoku/>
        <w:overflowPunct/>
        <w:bidi w:val="0"/>
        <w:spacing w:line="400" w:lineRule="exact"/>
        <w:textAlignment w:val="auto"/>
        <w:rPr>
          <w:sz w:val="16"/>
          <w:szCs w:val="20"/>
        </w:rPr>
      </w:pPr>
    </w:p>
    <w:p>
      <w:pPr>
        <w:pStyle w:val="2"/>
        <w:numPr>
          <w:ilvl w:val="-1"/>
          <w:numId w:val="0"/>
        </w:numPr>
        <w:spacing w:before="240" w:after="240"/>
        <w:ind w:left="402" w:firstLine="0"/>
        <w:rPr>
          <w:rFonts w:hint="default" w:ascii="Times New Roman" w:hAnsi="Times New Roman" w:eastAsia="宋体" w:cs="Times New Roman"/>
          <w:color w:val="auto"/>
          <w:highlight w:val="none"/>
        </w:rPr>
      </w:pPr>
      <w:bookmarkStart w:id="353" w:name="_Toc18684_WPSOffice_Level1"/>
      <w:r>
        <w:rPr>
          <w:rFonts w:hint="eastAsia" w:ascii="Times New Roman" w:hAnsi="Times New Roman" w:eastAsia="宋体" w:cs="Times New Roman"/>
          <w:color w:val="auto"/>
          <w:highlight w:val="none"/>
          <w:lang w:val="en-US" w:eastAsia="zh-CN"/>
        </w:rPr>
        <w:t xml:space="preserve">第五章 </w:t>
      </w:r>
      <w:r>
        <w:rPr>
          <w:rFonts w:hint="default" w:ascii="Times New Roman" w:hAnsi="Times New Roman" w:eastAsia="宋体" w:cs="Times New Roman"/>
          <w:color w:val="auto"/>
          <w:highlight w:val="none"/>
          <w:lang w:val="en-US" w:eastAsia="zh-CN"/>
        </w:rPr>
        <w:t>采购需求及清单</w:t>
      </w:r>
      <w:bookmarkEnd w:id="353"/>
    </w:p>
    <w:p>
      <w:pPr>
        <w:pStyle w:val="3"/>
        <w:keepNext/>
        <w:keepLines/>
        <w:pageBreakBefore w:val="0"/>
        <w:widowControl w:val="0"/>
        <w:numPr>
          <w:ilvl w:val="0"/>
          <w:numId w:val="0"/>
        </w:numPr>
        <w:kinsoku/>
        <w:wordWrap/>
        <w:overflowPunct/>
        <w:topLinePunct w:val="0"/>
        <w:autoSpaceDE/>
        <w:autoSpaceDN/>
        <w:bidi w:val="0"/>
        <w:adjustRightInd/>
        <w:snapToGrid w:val="0"/>
        <w:spacing w:before="120" w:after="120" w:line="240" w:lineRule="auto"/>
        <w:ind w:left="630" w:leftChars="0"/>
        <w:textAlignment w:val="auto"/>
        <w:rPr>
          <w:rFonts w:hint="default" w:ascii="Times New Roman" w:hAnsi="Times New Roman" w:cs="Times New Roman"/>
          <w:highlight w:val="none"/>
          <w:lang w:val="en-US" w:eastAsia="zh-CN"/>
        </w:rPr>
      </w:pPr>
      <w:bookmarkStart w:id="354" w:name="_Toc28814_WPSOffice_Level2"/>
      <w:r>
        <w:rPr>
          <w:rFonts w:hint="default" w:ascii="Times New Roman" w:hAnsi="Times New Roman" w:cs="Times New Roman"/>
          <w:highlight w:val="none"/>
          <w:lang w:val="en-US" w:eastAsia="zh-CN"/>
        </w:rPr>
        <w:t>1、技术标准和要求</w:t>
      </w:r>
      <w:r>
        <w:rPr>
          <w:rFonts w:hint="eastAsia" w:ascii="Times New Roman" w:hAnsi="Times New Roman" w:cs="Times New Roman"/>
          <w:highlight w:val="none"/>
          <w:lang w:val="en-US" w:eastAsia="zh-CN"/>
        </w:rPr>
        <w:t>（详见清单及图纸要求）</w:t>
      </w:r>
    </w:p>
    <w:bookmarkEnd w:id="354"/>
    <w:p>
      <w:pPr>
        <w:pStyle w:val="3"/>
        <w:keepNext/>
        <w:keepLines/>
        <w:pageBreakBefore w:val="0"/>
        <w:widowControl w:val="0"/>
        <w:numPr>
          <w:ilvl w:val="0"/>
          <w:numId w:val="0"/>
        </w:numPr>
        <w:kinsoku/>
        <w:wordWrap/>
        <w:overflowPunct/>
        <w:topLinePunct w:val="0"/>
        <w:autoSpaceDE/>
        <w:autoSpaceDN/>
        <w:bidi w:val="0"/>
        <w:adjustRightInd/>
        <w:snapToGrid w:val="0"/>
        <w:spacing w:before="120" w:after="120" w:line="240" w:lineRule="auto"/>
        <w:ind w:left="630" w:leftChars="0"/>
        <w:textAlignment w:val="auto"/>
        <w:rPr>
          <w:rFonts w:hint="default" w:ascii="Times New Roman" w:hAnsi="Times New Roman" w:cs="Times New Roman"/>
          <w:highlight w:val="none"/>
          <w:lang w:val="en-US" w:eastAsia="zh-CN"/>
        </w:rPr>
      </w:pPr>
      <w:bookmarkStart w:id="355" w:name="_Toc27821_WPSOffice_Level2"/>
      <w:r>
        <w:rPr>
          <w:rFonts w:hint="default" w:ascii="Times New Roman" w:hAnsi="Times New Roman" w:cs="Times New Roman" w:eastAsiaTheme="minorEastAsia"/>
          <w:b/>
          <w:bCs/>
          <w:kern w:val="2"/>
          <w:sz w:val="28"/>
          <w:szCs w:val="32"/>
          <w:highlight w:val="none"/>
          <w:lang w:val="en-US" w:eastAsia="zh-CN" w:bidi="ar-SA"/>
        </w:rPr>
        <w:t>2、</w:t>
      </w:r>
      <w:r>
        <w:rPr>
          <w:rFonts w:hint="default" w:ascii="Times New Roman" w:hAnsi="Times New Roman" w:cs="Times New Roman"/>
          <w:b/>
          <w:bCs/>
          <w:kern w:val="2"/>
          <w:sz w:val="28"/>
          <w:szCs w:val="32"/>
          <w:highlight w:val="none"/>
          <w:lang w:val="en-US" w:eastAsia="zh-CN" w:bidi="ar-SA"/>
        </w:rPr>
        <w:t>图纸</w:t>
      </w:r>
      <w:bookmarkEnd w:id="355"/>
      <w:r>
        <w:rPr>
          <w:rFonts w:hint="eastAsia" w:ascii="Times New Roman" w:hAnsi="Times New Roman" w:cs="Times New Roman"/>
          <w:b/>
          <w:bCs/>
          <w:kern w:val="2"/>
          <w:sz w:val="28"/>
          <w:szCs w:val="32"/>
          <w:highlight w:val="none"/>
          <w:lang w:val="en-US" w:eastAsia="zh-CN" w:bidi="ar-SA"/>
        </w:rPr>
        <w:t>（如有）</w:t>
      </w:r>
    </w:p>
    <w:p>
      <w:pPr>
        <w:pStyle w:val="3"/>
        <w:keepNext/>
        <w:keepLines/>
        <w:pageBreakBefore w:val="0"/>
        <w:widowControl w:val="0"/>
        <w:numPr>
          <w:ilvl w:val="0"/>
          <w:numId w:val="0"/>
        </w:numPr>
        <w:kinsoku/>
        <w:wordWrap/>
        <w:overflowPunct/>
        <w:topLinePunct w:val="0"/>
        <w:autoSpaceDE/>
        <w:autoSpaceDN/>
        <w:bidi w:val="0"/>
        <w:adjustRightInd/>
        <w:snapToGrid w:val="0"/>
        <w:spacing w:before="120" w:after="120" w:line="240" w:lineRule="auto"/>
        <w:ind w:left="630" w:leftChars="0"/>
        <w:textAlignment w:val="auto"/>
        <w:rPr>
          <w:rFonts w:hint="default" w:ascii="Times New Roman" w:hAnsi="Times New Roman" w:cs="Times New Roman"/>
          <w:highlight w:val="none"/>
          <w:lang w:val="en-US" w:eastAsia="zh-CN"/>
        </w:rPr>
      </w:pPr>
      <w:bookmarkStart w:id="356" w:name="_Toc18078_WPSOffice_Level2"/>
      <w:r>
        <w:rPr>
          <w:rFonts w:hint="default" w:ascii="Times New Roman" w:hAnsi="Times New Roman" w:cs="Times New Roman"/>
          <w:highlight w:val="none"/>
          <w:lang w:val="en-US" w:eastAsia="zh-CN"/>
        </w:rPr>
        <w:t>3、工程量清单</w:t>
      </w:r>
      <w:bookmarkEnd w:id="356"/>
    </w:p>
    <w:p>
      <w:pPr>
        <w:ind w:left="636" w:leftChars="303" w:firstLine="0" w:firstLine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3.1工程量清单编制说明（编制说明中应明确：供应商不得修改工程量清单编制说明）</w:t>
      </w:r>
    </w:p>
    <w:p>
      <w:pPr>
        <w:pStyle w:val="3"/>
        <w:keepNext/>
        <w:keepLines/>
        <w:numPr>
          <w:ilvl w:val="0"/>
          <w:numId w:val="0"/>
        </w:numPr>
        <w:snapToGrid w:val="0"/>
        <w:spacing w:before="120"/>
        <w:ind w:left="63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3.2工程量清单（后附）</w:t>
      </w: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pStyle w:val="2"/>
        <w:numPr>
          <w:ilvl w:val="0"/>
          <w:numId w:val="0"/>
        </w:numPr>
        <w:spacing w:before="240" w:after="240"/>
        <w:ind w:left="402" w:leftChars="0"/>
        <w:rPr>
          <w:rFonts w:hint="default" w:ascii="Times New Roman" w:hAnsi="Times New Roman" w:eastAsia="宋体" w:cs="Times New Roman"/>
          <w:color w:val="auto"/>
          <w:highlight w:val="none"/>
        </w:rPr>
      </w:pPr>
      <w:bookmarkStart w:id="357" w:name="_Toc17685_WPSOffice_Level1"/>
      <w:r>
        <w:rPr>
          <w:rFonts w:hint="eastAsia" w:ascii="Times New Roman" w:hAnsi="Times New Roman" w:eastAsia="宋体" w:cs="Times New Roman"/>
          <w:color w:val="auto"/>
          <w:highlight w:val="none"/>
          <w:lang w:val="en-US" w:eastAsia="zh-CN"/>
        </w:rPr>
        <w:t xml:space="preserve">第六章 </w:t>
      </w:r>
      <w:r>
        <w:rPr>
          <w:rFonts w:hint="default" w:ascii="Times New Roman" w:hAnsi="Times New Roman" w:eastAsia="宋体" w:cs="Times New Roman"/>
          <w:color w:val="auto"/>
          <w:highlight w:val="none"/>
          <w:lang w:val="en-US" w:eastAsia="zh-CN"/>
        </w:rPr>
        <w:t>响应文件格式</w:t>
      </w:r>
      <w:bookmarkEnd w:id="357"/>
    </w:p>
    <w:p>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br w:type="page"/>
      </w: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1"/>
          <w:szCs w:val="21"/>
          <w:highlight w:val="none"/>
        </w:rPr>
        <w:t xml:space="preserve">         </w:t>
      </w:r>
      <w:r>
        <w:rPr>
          <w:rFonts w:hint="default" w:ascii="Times New Roman" w:hAnsi="Times New Roman" w:eastAsia="黑体" w:cs="Times New Roman"/>
          <w:sz w:val="21"/>
          <w:szCs w:val="21"/>
          <w:highlight w:val="none"/>
          <w:lang w:val="en-US" w:eastAsia="zh-CN"/>
        </w:rPr>
        <w:t xml:space="preserve">  ______________________________</w:t>
      </w:r>
      <w:r>
        <w:rPr>
          <w:rFonts w:hint="default" w:ascii="Times New Roman" w:hAnsi="Times New Roman" w:eastAsia="黑体" w:cs="Times New Roman"/>
          <w:sz w:val="28"/>
          <w:szCs w:val="28"/>
          <w:highlight w:val="none"/>
        </w:rPr>
        <w:t>(项目名称)</w:t>
      </w:r>
      <w:r>
        <w:rPr>
          <w:rFonts w:hint="default" w:ascii="Times New Roman" w:hAnsi="Times New Roman" w:cs="Times New Roman"/>
          <w:sz w:val="28"/>
          <w:szCs w:val="28"/>
          <w:highlight w:val="none"/>
          <w:u w:val="single"/>
        </w:rPr>
        <w:t xml:space="preserve">     </w:t>
      </w:r>
      <w:r>
        <w:rPr>
          <w:rFonts w:hint="default" w:ascii="Times New Roman" w:hAnsi="Times New Roman" w:eastAsia="黑体" w:cs="Times New Roman"/>
          <w:sz w:val="28"/>
          <w:szCs w:val="28"/>
          <w:highlight w:val="none"/>
        </w:rPr>
        <w:t>合同包</w:t>
      </w:r>
      <w:r>
        <w:rPr>
          <w:rFonts w:hint="default" w:ascii="Times New Roman" w:hAnsi="Times New Roman" w:eastAsia="黑体" w:cs="Times New Roman"/>
          <w:sz w:val="28"/>
          <w:szCs w:val="28"/>
          <w:highlight w:val="none"/>
          <w:lang w:val="en-US" w:eastAsia="zh-CN"/>
        </w:rPr>
        <w:t>询比</w:t>
      </w:r>
    </w:p>
    <w:p>
      <w:pPr>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pPr>
        <w:spacing w:line="440" w:lineRule="exact"/>
        <w:rPr>
          <w:rFonts w:hint="default" w:ascii="Times New Roman" w:hAnsi="Times New Roman" w:eastAsia="黑体" w:cs="Times New Roman"/>
          <w:sz w:val="40"/>
          <w:szCs w:val="40"/>
          <w:highlight w:val="none"/>
        </w:rPr>
      </w:pPr>
    </w:p>
    <w:p>
      <w:pPr>
        <w:spacing w:line="440" w:lineRule="exact"/>
        <w:jc w:val="center"/>
        <w:rPr>
          <w:rFonts w:hint="default" w:ascii="Times New Roman" w:hAnsi="Times New Roman" w:eastAsia="黑体" w:cs="Times New Roman"/>
          <w:sz w:val="40"/>
          <w:szCs w:val="40"/>
          <w:highlight w:val="none"/>
        </w:rPr>
      </w:pPr>
    </w:p>
    <w:p>
      <w:pPr>
        <w:spacing w:line="440" w:lineRule="exact"/>
        <w:jc w:val="center"/>
        <w:rPr>
          <w:rFonts w:hint="default" w:ascii="Times New Roman" w:hAnsi="Times New Roman" w:eastAsia="黑体" w:cs="Times New Roman"/>
          <w:sz w:val="40"/>
          <w:szCs w:val="40"/>
          <w:highlight w:val="none"/>
        </w:rPr>
      </w:pPr>
    </w:p>
    <w:p>
      <w:pPr>
        <w:spacing w:line="440" w:lineRule="exact"/>
        <w:jc w:val="center"/>
        <w:rPr>
          <w:rFonts w:hint="default" w:ascii="Times New Roman" w:hAnsi="Times New Roman" w:eastAsia="黑体" w:cs="Times New Roman"/>
          <w:sz w:val="40"/>
          <w:szCs w:val="40"/>
          <w:highlight w:val="none"/>
        </w:rPr>
      </w:pPr>
    </w:p>
    <w:p>
      <w:pPr>
        <w:spacing w:line="240" w:lineRule="auto"/>
        <w:jc w:val="center"/>
        <w:rPr>
          <w:rFonts w:hint="default" w:ascii="Times New Roman" w:hAnsi="Times New Roman" w:eastAsia="黑体" w:cs="Times New Roman"/>
          <w:sz w:val="50"/>
          <w:szCs w:val="50"/>
          <w:highlight w:val="none"/>
        </w:rPr>
      </w:pPr>
      <w:bookmarkStart w:id="358" w:name="_Toc32044_WPSOffice_Level1"/>
      <w:bookmarkStart w:id="359" w:name="_Toc10484_WPSOffice_Level1"/>
      <w:bookmarkStart w:id="360" w:name="_Toc1914_WPSOffice_Level1"/>
      <w:bookmarkStart w:id="361" w:name="_Toc17394_WPSOffice_Level1"/>
      <w:r>
        <w:rPr>
          <w:rFonts w:hint="default" w:ascii="Times New Roman" w:hAnsi="Times New Roman" w:eastAsia="黑体" w:cs="Times New Roman"/>
          <w:sz w:val="50"/>
          <w:szCs w:val="50"/>
          <w:highlight w:val="none"/>
          <w:lang w:val="en-US" w:eastAsia="zh-CN"/>
        </w:rPr>
        <w:t>响  应</w:t>
      </w:r>
      <w:r>
        <w:rPr>
          <w:rFonts w:hint="default" w:ascii="Times New Roman" w:hAnsi="Times New Roman" w:eastAsia="黑体" w:cs="Times New Roman"/>
          <w:sz w:val="50"/>
          <w:szCs w:val="50"/>
          <w:highlight w:val="none"/>
        </w:rPr>
        <w:t xml:space="preserve">  文  件</w:t>
      </w:r>
      <w:bookmarkEnd w:id="358"/>
      <w:bookmarkEnd w:id="359"/>
      <w:bookmarkEnd w:id="360"/>
      <w:bookmarkEnd w:id="361"/>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rPr>
          <w:rFonts w:hint="default" w:ascii="Times New Roman" w:hAnsi="Times New Roman" w:eastAsia="黑体" w:cs="Times New Roman"/>
          <w:sz w:val="20"/>
          <w:szCs w:val="20"/>
          <w:highlight w:val="none"/>
        </w:rPr>
      </w:pPr>
    </w:p>
    <w:p>
      <w:pPr>
        <w:spacing w:line="440" w:lineRule="exact"/>
        <w:jc w:val="center"/>
        <w:rPr>
          <w:rFonts w:hint="default" w:ascii="Times New Roman" w:hAnsi="Times New Roman" w:eastAsia="黑体" w:cs="Times New Roman"/>
          <w:sz w:val="28"/>
          <w:szCs w:val="28"/>
          <w:highlight w:val="none"/>
        </w:rPr>
      </w:pPr>
      <w:bookmarkStart w:id="362" w:name="_Toc25232_WPSOffice_Level2"/>
      <w:bookmarkStart w:id="363" w:name="_Toc5520_WPSOffice_Level2"/>
      <w:r>
        <w:rPr>
          <w:rFonts w:hint="default" w:ascii="Times New Roman" w:hAnsi="Times New Roman" w:eastAsia="黑体" w:cs="Times New Roman"/>
          <w:sz w:val="28"/>
          <w:szCs w:val="28"/>
          <w:highlight w:val="none"/>
          <w:lang w:val="en-US" w:eastAsia="zh-CN"/>
        </w:rPr>
        <w:t>供应商</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u w:val="single"/>
        </w:rPr>
        <w:t xml:space="preserve">            (全称、盖单位章)</w:t>
      </w:r>
      <w:bookmarkEnd w:id="362"/>
      <w:bookmarkEnd w:id="363"/>
      <w:r>
        <w:rPr>
          <w:rFonts w:hint="default" w:ascii="Times New Roman" w:hAnsi="Times New Roman" w:eastAsia="黑体" w:cs="Times New Roman"/>
          <w:sz w:val="28"/>
          <w:szCs w:val="28"/>
          <w:highlight w:val="none"/>
          <w:u w:val="single"/>
        </w:rPr>
        <w:t xml:space="preserve">           </w:t>
      </w:r>
    </w:p>
    <w:p>
      <w:pPr>
        <w:spacing w:line="440" w:lineRule="exact"/>
        <w:ind w:firstLine="2158" w:firstLineChars="771"/>
        <w:rPr>
          <w:rFonts w:hint="default" w:ascii="Times New Roman" w:hAnsi="Times New Roman" w:eastAsia="黑体" w:cs="Times New Roman"/>
          <w:sz w:val="28"/>
          <w:szCs w:val="28"/>
          <w:highlight w:val="none"/>
        </w:rPr>
      </w:pPr>
    </w:p>
    <w:p>
      <w:pPr>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bookmarkStart w:id="364" w:name="_Toc20076_WPSOffice_Level2"/>
      <w:bookmarkStart w:id="365" w:name="_Toc31577_WPSOffice_Level2"/>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bookmarkEnd w:id="364"/>
      <w:bookmarkEnd w:id="365"/>
    </w:p>
    <w:p>
      <w:pPr>
        <w:spacing w:line="440" w:lineRule="exact"/>
        <w:rPr>
          <w:rFonts w:hint="default" w:ascii="Times New Roman" w:hAnsi="Times New Roman" w:eastAsia="黑体" w:cs="Times New Roman"/>
          <w:sz w:val="28"/>
          <w:szCs w:val="28"/>
          <w:highlight w:val="none"/>
        </w:rPr>
      </w:pPr>
    </w:p>
    <w:p>
      <w:pPr>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0"/>
          <w:szCs w:val="20"/>
          <w:highlight w:val="none"/>
        </w:rPr>
        <w:br w:type="page"/>
      </w:r>
      <w:bookmarkStart w:id="366" w:name="_Toc22351_WPSOffice_Level2"/>
      <w:bookmarkStart w:id="367" w:name="_Toc21974_WPSOffice_Level2"/>
      <w:r>
        <w:rPr>
          <w:rFonts w:hint="default" w:ascii="Times New Roman" w:hAnsi="Times New Roman" w:eastAsia="黑体" w:cs="Times New Roman"/>
          <w:sz w:val="28"/>
          <w:szCs w:val="28"/>
          <w:highlight w:val="none"/>
        </w:rPr>
        <w:t>目     录</w:t>
      </w:r>
      <w:bookmarkEnd w:id="366"/>
      <w:bookmarkEnd w:id="367"/>
    </w:p>
    <w:p>
      <w:pPr>
        <w:spacing w:line="440" w:lineRule="exact"/>
        <w:rPr>
          <w:rFonts w:hint="default" w:ascii="Times New Roman" w:hAnsi="Times New Roman" w:eastAsia="黑体" w:cs="Times New Roman"/>
          <w:sz w:val="20"/>
          <w:szCs w:val="20"/>
          <w:highlight w:val="none"/>
        </w:rPr>
      </w:pPr>
    </w:p>
    <w:p>
      <w:pPr>
        <w:spacing w:line="440" w:lineRule="exact"/>
        <w:ind w:left="1619" w:leftChars="771"/>
        <w:rPr>
          <w:rFonts w:ascii="Times New Roman" w:hAnsi="Times New Roman" w:eastAsia="黑体" w:cs="Times New Roman"/>
          <w:sz w:val="24"/>
          <w:highlight w:val="none"/>
        </w:rPr>
      </w:pPr>
      <w:bookmarkStart w:id="368" w:name="_Toc23368_WPSOffice_Level1"/>
      <w:bookmarkStart w:id="369" w:name="_Toc6353_WPSOffice_Level1"/>
      <w:bookmarkStart w:id="370" w:name="_Toc30529_WPSOffice_Level1"/>
      <w:bookmarkStart w:id="371" w:name="_Toc11424_WPSOffice_Level1"/>
      <w:bookmarkStart w:id="372" w:name="_Toc12670_WPSOffice_Level1"/>
      <w:r>
        <w:rPr>
          <w:rFonts w:ascii="Times New Roman" w:hAnsi="Times New Roman" w:eastAsia="黑体" w:cs="Times New Roman"/>
          <w:sz w:val="24"/>
          <w:highlight w:val="none"/>
        </w:rPr>
        <w:t>一、报价函</w:t>
      </w:r>
      <w:bookmarkEnd w:id="368"/>
      <w:bookmarkEnd w:id="369"/>
      <w:bookmarkEnd w:id="370"/>
      <w:bookmarkEnd w:id="371"/>
    </w:p>
    <w:p>
      <w:pPr>
        <w:spacing w:line="440" w:lineRule="exact"/>
        <w:ind w:left="1619" w:leftChars="771"/>
        <w:rPr>
          <w:rFonts w:ascii="Times New Roman" w:hAnsi="Times New Roman" w:eastAsia="黑体" w:cs="Times New Roman"/>
          <w:sz w:val="24"/>
          <w:highlight w:val="none"/>
        </w:rPr>
      </w:pPr>
      <w:bookmarkStart w:id="373" w:name="_Toc21229_WPSOffice_Level1"/>
      <w:bookmarkStart w:id="374" w:name="_Toc32729_WPSOffice_Level1"/>
      <w:bookmarkStart w:id="375" w:name="_Toc5317_WPSOffice_Level1"/>
      <w:bookmarkStart w:id="376" w:name="_Toc31927_WPSOffice_Level1"/>
      <w:r>
        <w:rPr>
          <w:rFonts w:ascii="Times New Roman" w:hAnsi="Times New Roman" w:eastAsia="黑体" w:cs="Times New Roman"/>
          <w:sz w:val="24"/>
          <w:highlight w:val="none"/>
        </w:rPr>
        <w:t>二、法定代表人身份证明及授权委托书</w:t>
      </w:r>
      <w:bookmarkEnd w:id="373"/>
      <w:bookmarkEnd w:id="374"/>
      <w:bookmarkEnd w:id="375"/>
      <w:bookmarkEnd w:id="376"/>
    </w:p>
    <w:p>
      <w:pPr>
        <w:spacing w:line="440" w:lineRule="exact"/>
        <w:ind w:left="1619" w:leftChars="771"/>
        <w:rPr>
          <w:rFonts w:hint="default" w:ascii="Times New Roman" w:hAnsi="Times New Roman" w:eastAsia="黑体" w:cs="Times New Roman"/>
          <w:sz w:val="24"/>
          <w:highlight w:val="none"/>
          <w:lang w:val="en-US" w:eastAsia="zh-CN"/>
        </w:rPr>
      </w:pPr>
      <w:bookmarkStart w:id="377" w:name="_Toc7453_WPSOffice_Level1"/>
      <w:bookmarkStart w:id="378" w:name="_Toc23744_WPSOffice_Level1"/>
      <w:bookmarkStart w:id="379" w:name="_Toc18964_WPSOffice_Level1"/>
      <w:bookmarkStart w:id="380" w:name="_Toc10608_WPSOffice_Level1"/>
      <w:r>
        <w:rPr>
          <w:rFonts w:hint="eastAsia" w:ascii="Times New Roman" w:hAnsi="Times New Roman" w:eastAsia="黑体" w:cs="Times New Roman"/>
          <w:sz w:val="24"/>
          <w:highlight w:val="none"/>
          <w:lang w:val="en-US" w:eastAsia="zh-CN"/>
        </w:rPr>
        <w:t>三</w:t>
      </w:r>
      <w:r>
        <w:rPr>
          <w:rFonts w:ascii="Times New Roman" w:hAnsi="Times New Roman" w:eastAsia="黑体" w:cs="Times New Roman"/>
          <w:sz w:val="24"/>
          <w:highlight w:val="none"/>
        </w:rPr>
        <w:t>、</w:t>
      </w:r>
      <w:bookmarkEnd w:id="377"/>
      <w:bookmarkEnd w:id="378"/>
      <w:bookmarkEnd w:id="379"/>
      <w:bookmarkEnd w:id="380"/>
      <w:r>
        <w:rPr>
          <w:rFonts w:hint="eastAsia" w:ascii="Times New Roman" w:hAnsi="Times New Roman" w:eastAsia="黑体" w:cs="Times New Roman"/>
          <w:sz w:val="24"/>
          <w:highlight w:val="none"/>
          <w:lang w:val="en-US" w:eastAsia="zh-CN"/>
        </w:rPr>
        <w:t>供应商基本情况</w:t>
      </w:r>
    </w:p>
    <w:bookmarkEnd w:id="372"/>
    <w:p>
      <w:pPr>
        <w:spacing w:line="440" w:lineRule="exact"/>
        <w:ind w:left="1619" w:leftChars="771"/>
        <w:rPr>
          <w:rFonts w:hint="default" w:ascii="Times New Roman" w:hAnsi="Times New Roman" w:eastAsia="黑体" w:cs="Times New Roman"/>
          <w:sz w:val="24"/>
          <w:highlight w:val="none"/>
        </w:rPr>
      </w:pPr>
    </w:p>
    <w:p>
      <w:pPr>
        <w:spacing w:line="440" w:lineRule="exact"/>
        <w:ind w:left="1619" w:leftChars="771"/>
        <w:rPr>
          <w:rFonts w:hint="default" w:ascii="Times New Roman" w:hAnsi="Times New Roman" w:eastAsia="黑体" w:cs="Times New Roman"/>
          <w:sz w:val="24"/>
          <w:highlight w:val="none"/>
        </w:rPr>
      </w:pPr>
    </w:p>
    <w:p>
      <w:pPr>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0"/>
          <w:szCs w:val="20"/>
          <w:highlight w:val="none"/>
        </w:rPr>
        <w:br w:type="page"/>
      </w:r>
      <w:bookmarkStart w:id="381" w:name="_Toc1687_WPSOffice_Level1"/>
      <w:bookmarkStart w:id="382" w:name="_Toc2765_WPSOffice_Level1"/>
      <w:bookmarkStart w:id="383" w:name="_Toc18312_WPSOffice_Level1"/>
      <w:bookmarkStart w:id="384" w:name="_Toc3972_WPSOffice_Level1"/>
      <w:bookmarkStart w:id="385" w:name="_Toc1017_WPSOffice_Level1"/>
      <w:r>
        <w:rPr>
          <w:rFonts w:hint="default" w:ascii="Times New Roman" w:hAnsi="Times New Roman" w:eastAsia="黑体" w:cs="Times New Roman"/>
          <w:sz w:val="28"/>
          <w:szCs w:val="28"/>
          <w:highlight w:val="none"/>
        </w:rPr>
        <w:t>一、</w:t>
      </w:r>
      <w:r>
        <w:rPr>
          <w:rFonts w:hint="default" w:ascii="Times New Roman" w:hAnsi="Times New Roman" w:eastAsia="黑体" w:cs="Times New Roman"/>
          <w:sz w:val="28"/>
          <w:szCs w:val="28"/>
          <w:highlight w:val="none"/>
          <w:lang w:val="en-US" w:eastAsia="zh-CN"/>
        </w:rPr>
        <w:t>报价</w:t>
      </w:r>
      <w:r>
        <w:rPr>
          <w:rFonts w:hint="default" w:ascii="Times New Roman" w:hAnsi="Times New Roman" w:eastAsia="黑体" w:cs="Times New Roman"/>
          <w:sz w:val="28"/>
          <w:szCs w:val="28"/>
          <w:highlight w:val="none"/>
        </w:rPr>
        <w:t>函</w:t>
      </w:r>
      <w:bookmarkEnd w:id="381"/>
      <w:bookmarkEnd w:id="382"/>
      <w:bookmarkEnd w:id="383"/>
      <w:bookmarkEnd w:id="384"/>
      <w:bookmarkEnd w:id="385"/>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采购人</w:t>
      </w:r>
      <w:r>
        <w:rPr>
          <w:rFonts w:hint="default" w:ascii="Times New Roman" w:hAnsi="Times New Roman" w:cs="Times New Roman"/>
          <w:sz w:val="24"/>
          <w:highlight w:val="none"/>
        </w:rPr>
        <w:t>名称)：</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1．我方已仔细研究了</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合同包</w:t>
      </w:r>
      <w:r>
        <w:rPr>
          <w:rFonts w:hint="default" w:ascii="Times New Roman" w:hAnsi="Times New Roman" w:cs="Times New Roman"/>
          <w:sz w:val="24"/>
          <w:highlight w:val="none"/>
          <w:lang w:val="en-US" w:eastAsia="zh-CN"/>
        </w:rPr>
        <w:t>询比</w:t>
      </w:r>
      <w:r>
        <w:rPr>
          <w:rFonts w:hint="default" w:ascii="Times New Roman" w:hAnsi="Times New Roman" w:cs="Times New Roman"/>
          <w:sz w:val="24"/>
          <w:highlight w:val="none"/>
        </w:rPr>
        <w:t>文件的全部内容(含补遗书第__号至第__号)，在考察工程现场后，</w:t>
      </w:r>
      <w:r>
        <w:rPr>
          <w:rFonts w:hint="eastAsia" w:ascii="宋体" w:hAnsi="宋体"/>
          <w:szCs w:val="22"/>
        </w:rPr>
        <w:t>我方愿以</w:t>
      </w:r>
      <w:r>
        <w:rPr>
          <w:rFonts w:ascii="Times New Roman" w:hAnsi="Times New Roman" w:cs="Times New Roman"/>
          <w:color w:val="auto"/>
          <w:sz w:val="24"/>
          <w:highlight w:val="none"/>
        </w:rPr>
        <w:t>人民币(大写)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(小写：¥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宋体" w:hAnsi="宋体"/>
          <w:szCs w:val="22"/>
          <w:lang w:val="en-US" w:eastAsia="zh-CN"/>
        </w:rPr>
        <w:t xml:space="preserve">  </w:t>
      </w:r>
      <w:r>
        <w:rPr>
          <w:rFonts w:hint="eastAsia" w:ascii="宋体" w:hAnsi="宋体"/>
          <w:szCs w:val="22"/>
        </w:rPr>
        <w:t>的投标总报价</w:t>
      </w:r>
      <w:r>
        <w:rPr>
          <w:rFonts w:hint="default" w:ascii="Times New Roman" w:hAnsi="Times New Roman" w:cs="Times New Roman"/>
          <w:sz w:val="24"/>
          <w:highlight w:val="none"/>
        </w:rPr>
        <w:t>，按合同约定实施和完成承包工程，修补工程中的任何缺陷，工程质量</w:t>
      </w:r>
      <w:r>
        <w:rPr>
          <w:rFonts w:hint="default" w:ascii="Times New Roman" w:hAnsi="Times New Roman" w:cs="Times New Roman"/>
          <w:sz w:val="24"/>
          <w:highlight w:val="none"/>
          <w:lang w:val="en-US" w:eastAsia="zh-CN"/>
        </w:rPr>
        <w:t>目标</w:t>
      </w:r>
      <w:r>
        <w:rPr>
          <w:rFonts w:hint="default" w:ascii="Times New Roman" w:hAnsi="Times New Roman" w:cs="Times New Roman"/>
          <w:sz w:val="24"/>
          <w:highlight w:val="none"/>
        </w:rPr>
        <w:t>达到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2．我方承诺在</w:t>
      </w:r>
      <w:r>
        <w:rPr>
          <w:rFonts w:hint="default" w:ascii="Times New Roman" w:hAnsi="Times New Roman" w:cs="Times New Roman"/>
          <w:sz w:val="24"/>
          <w:highlight w:val="none"/>
          <w:lang w:val="en-US" w:eastAsia="zh-CN"/>
        </w:rPr>
        <w:t>响应</w:t>
      </w:r>
      <w:r>
        <w:rPr>
          <w:rFonts w:hint="default" w:ascii="Times New Roman" w:hAnsi="Times New Roman" w:cs="Times New Roman"/>
          <w:sz w:val="24"/>
          <w:highlight w:val="none"/>
        </w:rPr>
        <w:t>有效期内不修改、撤销</w:t>
      </w:r>
      <w:r>
        <w:rPr>
          <w:rFonts w:hint="default" w:ascii="Times New Roman" w:hAnsi="Times New Roman" w:cs="Times New Roman"/>
          <w:sz w:val="24"/>
          <w:highlight w:val="none"/>
          <w:lang w:val="en-US" w:eastAsia="zh-CN"/>
        </w:rPr>
        <w:t>响应</w:t>
      </w:r>
      <w:r>
        <w:rPr>
          <w:rFonts w:hint="default" w:ascii="Times New Roman" w:hAnsi="Times New Roman" w:cs="Times New Roman"/>
          <w:sz w:val="24"/>
          <w:highlight w:val="none"/>
        </w:rPr>
        <w:t>文件。</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3．随同本</w:t>
      </w:r>
      <w:r>
        <w:rPr>
          <w:rFonts w:hint="default" w:ascii="Times New Roman" w:hAnsi="Times New Roman" w:cs="Times New Roman"/>
          <w:sz w:val="24"/>
          <w:highlight w:val="none"/>
          <w:lang w:val="en-US" w:eastAsia="zh-CN"/>
        </w:rPr>
        <w:t>报价</w:t>
      </w:r>
      <w:r>
        <w:rPr>
          <w:rFonts w:hint="default" w:ascii="Times New Roman" w:hAnsi="Times New Roman" w:cs="Times New Roman"/>
          <w:sz w:val="24"/>
          <w:highlight w:val="none"/>
        </w:rPr>
        <w:t>函提交</w:t>
      </w:r>
      <w:r>
        <w:rPr>
          <w:rFonts w:hint="default" w:ascii="Times New Roman" w:hAnsi="Times New Roman" w:cs="Times New Roman"/>
          <w:sz w:val="24"/>
          <w:highlight w:val="none"/>
          <w:lang w:val="en-US" w:eastAsia="zh-CN"/>
        </w:rPr>
        <w:t>响应</w:t>
      </w:r>
      <w:r>
        <w:rPr>
          <w:rFonts w:hint="default" w:ascii="Times New Roman" w:hAnsi="Times New Roman" w:cs="Times New Roman"/>
          <w:sz w:val="24"/>
          <w:highlight w:val="none"/>
        </w:rPr>
        <w:t>保证金一份，金额为人民币(大写)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4．如我方</w:t>
      </w:r>
      <w:r>
        <w:rPr>
          <w:rFonts w:hint="default" w:ascii="Times New Roman" w:hAnsi="Times New Roman" w:cs="Times New Roman"/>
          <w:sz w:val="24"/>
          <w:highlight w:val="none"/>
          <w:lang w:val="en-US" w:eastAsia="zh-CN"/>
        </w:rPr>
        <w:t>成交</w:t>
      </w:r>
      <w:r>
        <w:rPr>
          <w:rFonts w:hint="default" w:ascii="Times New Roman" w:hAnsi="Times New Roman" w:cs="Times New Roman"/>
          <w:sz w:val="24"/>
          <w:highlight w:val="none"/>
        </w:rPr>
        <w:t>：</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(1)我方承诺在收到</w:t>
      </w:r>
      <w:r>
        <w:rPr>
          <w:rFonts w:hint="default" w:ascii="Times New Roman" w:hAnsi="Times New Roman" w:cs="Times New Roman"/>
          <w:sz w:val="24"/>
          <w:highlight w:val="none"/>
          <w:lang w:val="en-US" w:eastAsia="zh-CN"/>
        </w:rPr>
        <w:t>成交</w:t>
      </w:r>
      <w:r>
        <w:rPr>
          <w:rFonts w:hint="default" w:ascii="Times New Roman" w:hAnsi="Times New Roman" w:cs="Times New Roman"/>
          <w:sz w:val="24"/>
          <w:highlight w:val="none"/>
        </w:rPr>
        <w:t>通知书后，在</w:t>
      </w:r>
      <w:r>
        <w:rPr>
          <w:rFonts w:hint="default" w:ascii="Times New Roman" w:hAnsi="Times New Roman" w:cs="Times New Roman"/>
          <w:sz w:val="24"/>
          <w:highlight w:val="none"/>
          <w:lang w:val="en-US" w:eastAsia="zh-CN"/>
        </w:rPr>
        <w:t>成交</w:t>
      </w:r>
      <w:r>
        <w:rPr>
          <w:rFonts w:hint="default" w:ascii="Times New Roman" w:hAnsi="Times New Roman" w:cs="Times New Roman"/>
          <w:sz w:val="24"/>
          <w:highlight w:val="none"/>
        </w:rPr>
        <w:t>通知书规定的期限内与你方签订合同。</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(2)我方承诺按照</w:t>
      </w:r>
      <w:r>
        <w:rPr>
          <w:rFonts w:hint="default" w:ascii="Times New Roman" w:hAnsi="Times New Roman" w:cs="Times New Roman"/>
          <w:sz w:val="24"/>
          <w:highlight w:val="none"/>
          <w:lang w:val="en-US" w:eastAsia="zh-CN"/>
        </w:rPr>
        <w:t>询比</w:t>
      </w:r>
      <w:r>
        <w:rPr>
          <w:rFonts w:hint="default" w:ascii="Times New Roman" w:hAnsi="Times New Roman" w:cs="Times New Roman"/>
          <w:sz w:val="24"/>
          <w:highlight w:val="none"/>
        </w:rPr>
        <w:t>文件规定向你方递交履约担保。</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(3)我方承诺在合同约定的期限内完成并移交全部合同工程。</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5．我方在此声明，所递交的</w:t>
      </w:r>
      <w:r>
        <w:rPr>
          <w:rFonts w:hint="default" w:ascii="Times New Roman" w:hAnsi="Times New Roman" w:cs="Times New Roman"/>
          <w:sz w:val="24"/>
          <w:highlight w:val="none"/>
          <w:lang w:val="en-US" w:eastAsia="zh-CN"/>
        </w:rPr>
        <w:t>响应</w:t>
      </w:r>
      <w:r>
        <w:rPr>
          <w:rFonts w:hint="default" w:ascii="Times New Roman" w:hAnsi="Times New Roman" w:cs="Times New Roman"/>
          <w:sz w:val="24"/>
          <w:highlight w:val="none"/>
        </w:rPr>
        <w:t>文件及有关资料内容完整、真实和准确。</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6．在合同协议书正式签署生效之前，本</w:t>
      </w:r>
      <w:r>
        <w:rPr>
          <w:rFonts w:hint="default" w:ascii="Times New Roman" w:hAnsi="Times New Roman" w:cs="Times New Roman"/>
          <w:sz w:val="24"/>
          <w:highlight w:val="none"/>
          <w:lang w:val="en-US" w:eastAsia="zh-CN"/>
        </w:rPr>
        <w:t>报价</w:t>
      </w:r>
      <w:r>
        <w:rPr>
          <w:rFonts w:hint="default" w:ascii="Times New Roman" w:hAnsi="Times New Roman" w:cs="Times New Roman"/>
          <w:sz w:val="24"/>
          <w:highlight w:val="none"/>
        </w:rPr>
        <w:t>函连同你方的</w:t>
      </w:r>
      <w:r>
        <w:rPr>
          <w:rFonts w:hint="default" w:ascii="Times New Roman" w:hAnsi="Times New Roman" w:cs="Times New Roman"/>
          <w:sz w:val="24"/>
          <w:highlight w:val="none"/>
          <w:lang w:val="en-US" w:eastAsia="zh-CN"/>
        </w:rPr>
        <w:t>成交</w:t>
      </w:r>
      <w:r>
        <w:rPr>
          <w:rFonts w:hint="default" w:ascii="Times New Roman" w:hAnsi="Times New Roman" w:cs="Times New Roman"/>
          <w:sz w:val="24"/>
          <w:highlight w:val="none"/>
        </w:rPr>
        <w:t>通知书将构成我们双方之间共同遵守的文件，对双方具有约束力。</w:t>
      </w:r>
    </w:p>
    <w:p>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7．我方理解，你方不一定</w:t>
      </w:r>
      <w:r>
        <w:rPr>
          <w:rFonts w:hint="eastAsia" w:ascii="Times New Roman" w:hAnsi="Times New Roman" w:cs="Times New Roman"/>
          <w:sz w:val="24"/>
          <w:highlight w:val="none"/>
          <w:lang w:val="en-US" w:eastAsia="zh-CN"/>
        </w:rPr>
        <w:t>接受</w:t>
      </w:r>
      <w:r>
        <w:rPr>
          <w:rFonts w:hint="default" w:ascii="Times New Roman" w:hAnsi="Times New Roman" w:cs="Times New Roman"/>
          <w:sz w:val="24"/>
          <w:highlight w:val="none"/>
        </w:rPr>
        <w:t>任何</w:t>
      </w:r>
      <w:r>
        <w:rPr>
          <w:rFonts w:hint="default" w:ascii="Times New Roman" w:hAnsi="Times New Roman" w:cs="Times New Roman"/>
          <w:sz w:val="24"/>
          <w:highlight w:val="none"/>
          <w:lang w:val="en-US" w:eastAsia="zh-CN"/>
        </w:rPr>
        <w:t>报价</w:t>
      </w:r>
      <w:r>
        <w:rPr>
          <w:rFonts w:hint="default" w:ascii="Times New Roman" w:hAnsi="Times New Roman" w:cs="Times New Roman"/>
          <w:sz w:val="24"/>
          <w:highlight w:val="none"/>
        </w:rPr>
        <w:t>。同时也理解，你方不负担我方的任何</w:t>
      </w:r>
      <w:r>
        <w:rPr>
          <w:rFonts w:hint="default" w:ascii="Times New Roman" w:hAnsi="Times New Roman" w:cs="Times New Roman"/>
          <w:sz w:val="24"/>
          <w:highlight w:val="none"/>
          <w:lang w:val="en-US" w:eastAsia="zh-CN"/>
        </w:rPr>
        <w:t>报价</w:t>
      </w:r>
      <w:r>
        <w:rPr>
          <w:rFonts w:hint="default" w:ascii="Times New Roman" w:hAnsi="Times New Roman" w:cs="Times New Roman"/>
          <w:sz w:val="24"/>
          <w:highlight w:val="none"/>
        </w:rPr>
        <w:t>费用。</w:t>
      </w:r>
    </w:p>
    <w:p>
      <w:pPr>
        <w:spacing w:line="400" w:lineRule="exact"/>
        <w:ind w:firstLine="480" w:firstLineChars="2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sz w:val="24"/>
          <w:highlight w:val="none"/>
          <w:lang w:val="en-US" w:eastAsia="zh-CN"/>
        </w:rPr>
        <w:t>8.____________。</w:t>
      </w:r>
    </w:p>
    <w:p>
      <w:pPr>
        <w:spacing w:line="400" w:lineRule="exact"/>
        <w:ind w:firstLine="3420" w:firstLineChars="1425"/>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供应商</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pPr>
        <w:spacing w:line="400" w:lineRule="exact"/>
        <w:ind w:firstLine="3420" w:firstLineChars="1425"/>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eastAsia" w:ascii="Times New Roman" w:hAnsi="Times New Roman" w:cs="Times New Roman"/>
          <w:sz w:val="24"/>
          <w:highlight w:val="none"/>
          <w:lang w:val="en-US" w:eastAsia="zh-CN"/>
        </w:rPr>
        <w:t>或委托代理人</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rPr>
        <w:t>(</w:t>
      </w:r>
      <w:r>
        <w:rPr>
          <w:rFonts w:hint="eastAsia" w:ascii="Times New Roman" w:hAnsi="Times New Roman" w:cs="Times New Roman"/>
          <w:sz w:val="24"/>
          <w:highlight w:val="none"/>
          <w:lang w:val="en-US" w:eastAsia="zh-CN"/>
        </w:rPr>
        <w:t>签名</w:t>
      </w:r>
      <w:r>
        <w:rPr>
          <w:rFonts w:hint="default" w:ascii="Times New Roman" w:hAnsi="Times New Roman" w:cs="Times New Roman"/>
          <w:sz w:val="24"/>
          <w:highlight w:val="none"/>
        </w:rPr>
        <w:t>)</w:t>
      </w:r>
    </w:p>
    <w:p>
      <w:pPr>
        <w:spacing w:line="400" w:lineRule="exact"/>
        <w:ind w:firstLine="3420" w:firstLineChars="1425"/>
        <w:rPr>
          <w:rFonts w:hint="default" w:ascii="Times New Roman" w:hAnsi="Times New Roman" w:cs="Times New Roman"/>
          <w:sz w:val="24"/>
          <w:highlight w:val="none"/>
        </w:rPr>
      </w:pPr>
      <w:r>
        <w:rPr>
          <w:rFonts w:hint="default" w:ascii="Times New Roman" w:hAnsi="Times New Roman" w:cs="Times New Roman"/>
          <w:sz w:val="24"/>
          <w:highlight w:val="none"/>
        </w:rPr>
        <w:t>地址：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pPr>
        <w:spacing w:line="400" w:lineRule="exact"/>
        <w:ind w:firstLine="3420" w:firstLineChars="1425"/>
        <w:rPr>
          <w:rFonts w:hint="default" w:ascii="Times New Roman" w:hAnsi="Times New Roman" w:cs="Times New Roman"/>
          <w:sz w:val="24"/>
          <w:highlight w:val="none"/>
        </w:rPr>
      </w:pPr>
      <w:r>
        <w:rPr>
          <w:rFonts w:hint="default" w:ascii="Times New Roman" w:hAnsi="Times New Roman" w:cs="Times New Roman"/>
          <w:sz w:val="24"/>
          <w:highlight w:val="none"/>
        </w:rPr>
        <w:t>网址：</w:t>
      </w:r>
      <w:r>
        <w:rPr>
          <w:rFonts w:hint="default" w:ascii="Times New Roman" w:hAnsi="Times New Roman" w:cs="Times New Roman"/>
          <w:sz w:val="24"/>
          <w:highlight w:val="none"/>
          <w:u w:val="single"/>
        </w:rPr>
        <w:t xml:space="preserve">                                     </w:t>
      </w:r>
    </w:p>
    <w:p>
      <w:pPr>
        <w:spacing w:line="400" w:lineRule="exact"/>
        <w:ind w:firstLine="3420" w:firstLineChars="1425"/>
        <w:rPr>
          <w:rFonts w:hint="default" w:ascii="Times New Roman" w:hAnsi="Times New Roman" w:cs="Times New Roman"/>
          <w:sz w:val="24"/>
          <w:highlight w:val="none"/>
        </w:rPr>
      </w:pPr>
      <w:r>
        <w:rPr>
          <w:rFonts w:hint="default" w:ascii="Times New Roman" w:hAnsi="Times New Roman" w:cs="Times New Roman"/>
          <w:sz w:val="24"/>
          <w:highlight w:val="none"/>
        </w:rPr>
        <w:t>电话：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pPr>
        <w:spacing w:line="400" w:lineRule="exact"/>
        <w:ind w:firstLine="3420" w:firstLineChars="1425"/>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电子邮箱</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p>
    <w:p>
      <w:pPr>
        <w:spacing w:line="400" w:lineRule="exac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pPr>
        <w:rPr>
          <w:rFonts w:hint="default" w:ascii="Times New Roman" w:hAnsi="Times New Roman" w:cs="Times New Roman"/>
          <w:sz w:val="24"/>
          <w:highlight w:val="none"/>
        </w:rPr>
      </w:pPr>
      <w:r>
        <w:rPr>
          <w:rFonts w:hint="default" w:ascii="Times New Roman" w:hAnsi="Times New Roman" w:cs="Times New Roman"/>
          <w:sz w:val="24"/>
          <w:highlight w:val="none"/>
        </w:rPr>
        <w:br w:type="page"/>
      </w:r>
    </w:p>
    <w:p>
      <w:pPr>
        <w:spacing w:line="440" w:lineRule="exact"/>
        <w:jc w:val="center"/>
        <w:rPr>
          <w:rFonts w:hint="default" w:ascii="Times New Roman" w:hAnsi="Times New Roman" w:eastAsia="黑体" w:cs="Times New Roman"/>
          <w:sz w:val="20"/>
          <w:szCs w:val="20"/>
          <w:highlight w:val="none"/>
        </w:rPr>
      </w:pPr>
    </w:p>
    <w:p>
      <w:pPr>
        <w:spacing w:line="440" w:lineRule="exact"/>
        <w:jc w:val="center"/>
        <w:rPr>
          <w:rFonts w:hint="default" w:ascii="Times New Roman" w:hAnsi="Times New Roman" w:eastAsia="黑体" w:cs="Times New Roman"/>
          <w:sz w:val="28"/>
          <w:szCs w:val="28"/>
          <w:highlight w:val="none"/>
        </w:rPr>
      </w:pPr>
      <w:bookmarkStart w:id="386" w:name="_Toc4951_WPSOffice_Level1"/>
      <w:bookmarkStart w:id="387" w:name="_Toc14563_WPSOffice_Level1"/>
      <w:bookmarkStart w:id="388" w:name="_Toc1996_WPSOffice_Level1"/>
      <w:bookmarkStart w:id="389" w:name="_Toc32350_WPSOffice_Level1"/>
      <w:bookmarkStart w:id="390" w:name="_Toc18668_WPSOffice_Level1"/>
      <w:r>
        <w:rPr>
          <w:rFonts w:hint="default" w:ascii="Times New Roman" w:hAnsi="Times New Roman" w:eastAsia="黑体" w:cs="Times New Roman"/>
          <w:sz w:val="28"/>
          <w:szCs w:val="28"/>
          <w:highlight w:val="none"/>
        </w:rPr>
        <w:t>二、法定代表人身份证明及授权委托书</w:t>
      </w:r>
      <w:bookmarkEnd w:id="386"/>
      <w:bookmarkEnd w:id="387"/>
      <w:bookmarkEnd w:id="388"/>
      <w:bookmarkEnd w:id="389"/>
      <w:bookmarkEnd w:id="390"/>
    </w:p>
    <w:p>
      <w:pPr>
        <w:spacing w:line="440" w:lineRule="exact"/>
        <w:rPr>
          <w:rFonts w:hint="default" w:ascii="Times New Roman" w:hAnsi="Times New Roman" w:cs="Times New Roman"/>
          <w:sz w:val="20"/>
          <w:szCs w:val="20"/>
          <w:highlight w:val="none"/>
        </w:rPr>
      </w:pPr>
    </w:p>
    <w:p>
      <w:pPr>
        <w:spacing w:line="440" w:lineRule="exact"/>
        <w:jc w:val="center"/>
        <w:rPr>
          <w:rFonts w:hint="default" w:ascii="Times New Roman" w:hAnsi="Times New Roman" w:cs="Times New Roman"/>
          <w:sz w:val="28"/>
          <w:szCs w:val="28"/>
          <w:highlight w:val="none"/>
        </w:rPr>
      </w:pPr>
      <w:bookmarkStart w:id="391" w:name="_Toc5153_WPSOffice_Level2"/>
      <w:bookmarkStart w:id="392" w:name="_Toc20803_WPSOffice_Level2"/>
      <w:r>
        <w:rPr>
          <w:rFonts w:hint="default" w:ascii="Times New Roman" w:hAnsi="Times New Roman" w:eastAsia="黑体" w:cs="Times New Roman"/>
          <w:bCs/>
          <w:sz w:val="28"/>
          <w:szCs w:val="28"/>
          <w:highlight w:val="none"/>
        </w:rPr>
        <w:t>2-1 法定代表人身份证明</w:t>
      </w:r>
      <w:bookmarkEnd w:id="391"/>
      <w:bookmarkEnd w:id="392"/>
    </w:p>
    <w:p>
      <w:pPr>
        <w:spacing w:line="440" w:lineRule="exact"/>
        <w:rPr>
          <w:rFonts w:hint="default" w:ascii="Times New Roman" w:hAnsi="Times New Roman" w:cs="Times New Roman"/>
          <w:sz w:val="20"/>
          <w:szCs w:val="20"/>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单位性质：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地址：</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成立时间：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经营期限：</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姓名：</w:t>
      </w:r>
      <w:r>
        <w:rPr>
          <w:rFonts w:hint="default" w:ascii="Times New Roman" w:hAnsi="Times New Roman" w:cs="Times New Roman"/>
          <w:sz w:val="24"/>
          <w:highlight w:val="none"/>
          <w:u w:val="single"/>
        </w:rPr>
        <w:t xml:space="preserve">  </w:t>
      </w:r>
      <w:r>
        <w:rPr>
          <w:rFonts w:hint="default" w:ascii="Times New Roman" w:hAnsi="Times New Roman" w:cs="Times New Roman"/>
          <w:bCs/>
          <w:sz w:val="24"/>
          <w:highlight w:val="none"/>
          <w:u w:val="single"/>
          <w:lang w:val="en-US" w:eastAsia="zh-CN"/>
        </w:rPr>
        <w:t xml:space="preserve">                </w:t>
      </w:r>
      <w:r>
        <w:rPr>
          <w:rFonts w:hint="default" w:ascii="Times New Roman" w:hAnsi="Times New Roman" w:cs="Times New Roman"/>
          <w:sz w:val="24"/>
          <w:highlight w:val="none"/>
        </w:rPr>
        <w:t xml:space="preserve"> 性别：</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职务：</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名称)的法定代表人。</w:t>
      </w:r>
    </w:p>
    <w:p>
      <w:pPr>
        <w:spacing w:line="440" w:lineRule="exact"/>
        <w:ind w:firstLine="480" w:firstLineChars="2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sz w:val="24"/>
          <w:highlight w:val="none"/>
        </w:rPr>
        <w:t>附：法定代表人</w:t>
      </w:r>
      <w:r>
        <w:rPr>
          <w:rFonts w:hint="eastAsia" w:ascii="Times New Roman" w:hAnsi="Times New Roman" w:cs="Times New Roman"/>
          <w:sz w:val="24"/>
          <w:highlight w:val="none"/>
          <w:lang w:val="en-US" w:eastAsia="zh-CN"/>
        </w:rPr>
        <w:t>身份证正反面复印件</w:t>
      </w:r>
    </w:p>
    <w:p>
      <w:pPr>
        <w:spacing w:line="440" w:lineRule="exact"/>
        <w:ind w:firstLine="480" w:firstLineChars="200"/>
        <w:rPr>
          <w:rFonts w:hint="default" w:ascii="Times New Roman" w:hAnsi="Times New Roman" w:cs="Times New Roman"/>
          <w:sz w:val="24"/>
          <w:highlight w:val="none"/>
        </w:rPr>
      </w:pPr>
    </w:p>
    <w:p>
      <w:pPr>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特此证明。</w:t>
      </w: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pPr>
        <w:topLinePunct/>
        <w:spacing w:line="440" w:lineRule="exact"/>
        <w:rPr>
          <w:rFonts w:hint="default" w:ascii="Times New Roman" w:hAnsi="Times New Roman" w:eastAsia="黑体" w:cs="Times New Roman"/>
          <w:sz w:val="24"/>
          <w:highlight w:val="none"/>
        </w:rPr>
      </w:pPr>
    </w:p>
    <w:p>
      <w:pPr>
        <w:topLinePunct/>
        <w:spacing w:line="440" w:lineRule="exact"/>
        <w:rPr>
          <w:rFonts w:hint="default" w:ascii="Times New Roman" w:hAnsi="Times New Roman" w:eastAsia="黑体" w:cs="Times New Roman"/>
          <w:sz w:val="24"/>
          <w:highlight w:val="none"/>
        </w:rPr>
      </w:pPr>
    </w:p>
    <w:p>
      <w:pPr>
        <w:topLinePunct/>
        <w:spacing w:line="440" w:lineRule="exact"/>
        <w:rPr>
          <w:rFonts w:hint="default" w:ascii="Times New Roman" w:hAnsi="Times New Roman" w:eastAsia="黑体" w:cs="Times New Roman"/>
          <w:sz w:val="24"/>
          <w:highlight w:val="none"/>
        </w:rPr>
      </w:pPr>
    </w:p>
    <w:p>
      <w:pPr>
        <w:topLinePunct/>
        <w:spacing w:line="440" w:lineRule="exact"/>
        <w:rPr>
          <w:rFonts w:hint="default" w:ascii="Times New Roman" w:hAnsi="Times New Roman" w:eastAsia="黑体" w:cs="Times New Roman"/>
          <w:sz w:val="24"/>
          <w:highlight w:val="none"/>
        </w:rPr>
      </w:pPr>
    </w:p>
    <w:p>
      <w:pPr>
        <w:topLinePunct/>
        <w:spacing w:line="440" w:lineRule="exact"/>
        <w:rPr>
          <w:rFonts w:hint="default" w:ascii="Times New Roman" w:hAnsi="Times New Roman" w:eastAsia="黑体" w:cs="Times New Roman"/>
          <w:sz w:val="24"/>
          <w:highlight w:val="none"/>
        </w:rPr>
      </w:pPr>
    </w:p>
    <w:p>
      <w:pPr>
        <w:topLinePunct/>
        <w:spacing w:line="440" w:lineRule="exact"/>
        <w:ind w:left="315" w:hanging="315" w:hangingChars="150"/>
        <w:rPr>
          <w:rFonts w:hint="default" w:ascii="Times New Roman" w:hAnsi="Times New Roman" w:eastAsia="黑体" w:cs="Times New Roman"/>
          <w:szCs w:val="21"/>
          <w:highlight w:val="none"/>
          <w:lang w:eastAsia="zh-CN"/>
        </w:rPr>
      </w:pPr>
    </w:p>
    <w:p>
      <w:pPr>
        <w:topLinePunct/>
        <w:spacing w:line="440" w:lineRule="exact"/>
        <w:ind w:left="315" w:hanging="315" w:hangingChars="150"/>
        <w:rPr>
          <w:rFonts w:hint="default" w:ascii="Times New Roman" w:hAnsi="Times New Roman" w:eastAsia="黑体" w:cs="Times New Roman"/>
          <w:bCs/>
          <w:szCs w:val="21"/>
          <w:highlight w:val="none"/>
        </w:rPr>
      </w:pPr>
    </w:p>
    <w:p>
      <w:pPr>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393" w:name="_Toc19768_WPSOffice_Level2"/>
      <w:bookmarkStart w:id="394" w:name="_Toc12035_WPSOffice_Level2"/>
      <w:r>
        <w:rPr>
          <w:rFonts w:hint="default" w:ascii="Times New Roman" w:hAnsi="Times New Roman" w:eastAsia="黑体" w:cs="Times New Roman"/>
          <w:bCs/>
          <w:sz w:val="28"/>
          <w:szCs w:val="28"/>
          <w:highlight w:val="none"/>
        </w:rPr>
        <w:t xml:space="preserve">2-2 </w:t>
      </w:r>
      <w:r>
        <w:rPr>
          <w:rFonts w:hint="default" w:ascii="Times New Roman" w:hAnsi="Times New Roman" w:eastAsia="黑体" w:cs="Times New Roman"/>
          <w:sz w:val="28"/>
          <w:szCs w:val="28"/>
          <w:highlight w:val="none"/>
        </w:rPr>
        <w:t>授权委托书</w:t>
      </w:r>
      <w:bookmarkEnd w:id="393"/>
      <w:bookmarkEnd w:id="394"/>
    </w:p>
    <w:p>
      <w:pPr>
        <w:spacing w:line="440" w:lineRule="exact"/>
        <w:rPr>
          <w:rFonts w:hint="default" w:ascii="Times New Roman" w:hAnsi="Times New Roman" w:eastAsia="黑体" w:cs="Times New Roman"/>
          <w:sz w:val="24"/>
          <w:highlight w:val="none"/>
        </w:rPr>
      </w:pPr>
    </w:p>
    <w:p>
      <w:pPr>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名称)的法定代表人，现委托</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(姓名)为我方代理人。代理人根据授权，以我方名义签署、澄清、说明、补正、递交、撤回、修改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合同包</w:t>
      </w:r>
      <w:r>
        <w:rPr>
          <w:rFonts w:hint="default" w:ascii="Times New Roman" w:hAnsi="Times New Roman" w:cs="Times New Roman"/>
          <w:sz w:val="24"/>
          <w:highlight w:val="none"/>
          <w:lang w:val="en-US" w:eastAsia="zh-CN"/>
        </w:rPr>
        <w:t>响应</w:t>
      </w:r>
      <w:r>
        <w:rPr>
          <w:rFonts w:hint="default" w:ascii="Times New Roman" w:hAnsi="Times New Roman" w:cs="Times New Roman"/>
          <w:sz w:val="24"/>
          <w:highlight w:val="none"/>
        </w:rPr>
        <w:t>文件、签订合同和处理有关事宜，其法律后果由我方承担。</w:t>
      </w: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委托期限：</w:t>
      </w:r>
      <w:r>
        <w:rPr>
          <w:rFonts w:hint="default" w:ascii="Times New Roman" w:hAnsi="Times New Roman" w:cs="Times New Roman"/>
          <w:sz w:val="24"/>
          <w:highlight w:val="none"/>
          <w:u w:val="single"/>
        </w:rPr>
        <w:t>自授权委托之日起至签订合同之日止</w:t>
      </w:r>
      <w:r>
        <w:rPr>
          <w:rFonts w:hint="default" w:ascii="Times New Roman" w:hAnsi="Times New Roman" w:cs="Times New Roman"/>
          <w:sz w:val="24"/>
          <w:highlight w:val="none"/>
        </w:rPr>
        <w:t>。</w:t>
      </w:r>
    </w:p>
    <w:p>
      <w:pPr>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代理人无转委托权。</w:t>
      </w:r>
    </w:p>
    <w:p>
      <w:pPr>
        <w:spacing w:line="440" w:lineRule="exact"/>
        <w:ind w:firstLine="480" w:firstLineChars="2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sz w:val="24"/>
          <w:highlight w:val="none"/>
        </w:rPr>
        <w:t>附：法定代表人身份证明</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委托代理人的身份证正反面复印件</w:t>
      </w:r>
    </w:p>
    <w:p>
      <w:pPr>
        <w:spacing w:line="440" w:lineRule="exact"/>
        <w:ind w:firstLine="480" w:firstLineChars="200"/>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供应商</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eastAsia" w:ascii="Times New Roman" w:hAnsi="Times New Roman" w:cs="Times New Roman"/>
          <w:sz w:val="24"/>
          <w:highlight w:val="none"/>
          <w:lang w:eastAsia="zh-CN"/>
        </w:rPr>
        <w:t>签名</w:t>
      </w:r>
      <w:r>
        <w:rPr>
          <w:rFonts w:hint="default" w:ascii="Times New Roman" w:hAnsi="Times New Roman" w:cs="Times New Roman"/>
          <w:sz w:val="24"/>
          <w:highlight w:val="none"/>
        </w:rPr>
        <w:t>)</w:t>
      </w: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eastAsia" w:ascii="Times New Roman" w:hAnsi="Times New Roman" w:cs="Times New Roman"/>
          <w:sz w:val="24"/>
          <w:highlight w:val="none"/>
          <w:lang w:eastAsia="zh-CN"/>
        </w:rPr>
        <w:t>签名</w:t>
      </w:r>
      <w:r>
        <w:rPr>
          <w:rFonts w:hint="default" w:ascii="Times New Roman" w:hAnsi="Times New Roman" w:cs="Times New Roman"/>
          <w:sz w:val="24"/>
          <w:highlight w:val="none"/>
        </w:rPr>
        <w:t>)</w:t>
      </w: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pPr>
        <w:spacing w:line="440" w:lineRule="exact"/>
        <w:rPr>
          <w:rFonts w:hint="default" w:ascii="Times New Roman" w:hAnsi="Times New Roman" w:cs="Times New Roman"/>
          <w:sz w:val="24"/>
          <w:highlight w:val="none"/>
        </w:rPr>
      </w:pPr>
    </w:p>
    <w:p>
      <w:pPr>
        <w:spacing w:line="440" w:lineRule="exact"/>
        <w:rPr>
          <w:rFonts w:hint="default" w:ascii="Times New Roman" w:hAnsi="Times New Roman" w:cs="Times New Roman"/>
          <w:sz w:val="24"/>
          <w:highlight w:val="none"/>
        </w:rPr>
      </w:pPr>
    </w:p>
    <w:p>
      <w:pPr>
        <w:spacing w:line="440" w:lineRule="exact"/>
        <w:ind w:firstLine="1800" w:firstLineChars="750"/>
        <w:rPr>
          <w:rFonts w:hint="default" w:ascii="Times New Roman" w:hAnsi="Times New Roman" w:eastAsia="黑体"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pPr>
        <w:spacing w:line="440" w:lineRule="exac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w:t>
      </w:r>
    </w:p>
    <w:p>
      <w:pPr>
        <w:spacing w:line="360" w:lineRule="exact"/>
        <w:ind w:left="360" w:hanging="360" w:hangingChars="200"/>
        <w:rPr>
          <w:rFonts w:hint="default" w:ascii="Times New Roman" w:hAnsi="Times New Roman" w:eastAsia="黑体" w:cs="Times New Roman"/>
          <w:sz w:val="18"/>
          <w:szCs w:val="18"/>
          <w:highlight w:val="none"/>
        </w:rPr>
      </w:pPr>
    </w:p>
    <w:p>
      <w:pPr>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p>
    <w:p>
      <w:pPr>
        <w:topLinePunct/>
        <w:spacing w:line="440" w:lineRule="exact"/>
        <w:jc w:val="center"/>
        <w:rPr>
          <w:rFonts w:hint="default" w:ascii="Times New Roman" w:hAnsi="Times New Roman" w:eastAsia="黑体" w:cs="Times New Roman"/>
          <w:sz w:val="28"/>
          <w:szCs w:val="28"/>
          <w:highlight w:val="none"/>
        </w:rPr>
      </w:pPr>
      <w:bookmarkStart w:id="395" w:name="_Toc7738_WPSOffice_Level1"/>
      <w:bookmarkStart w:id="396" w:name="_Toc31445_WPSOffice_Level1"/>
      <w:bookmarkStart w:id="397" w:name="_Toc19015_WPSOffice_Level1"/>
      <w:bookmarkStart w:id="398" w:name="_Toc10436_WPSOffice_Level1"/>
      <w:bookmarkStart w:id="399" w:name="_Toc10646_WPSOffice_Level1"/>
      <w:r>
        <w:rPr>
          <w:rFonts w:hint="eastAsia" w:ascii="Times New Roman" w:hAnsi="Times New Roman" w:eastAsia="黑体" w:cs="Times New Roman"/>
          <w:sz w:val="28"/>
          <w:szCs w:val="28"/>
          <w:highlight w:val="none"/>
          <w:lang w:val="en-US" w:eastAsia="zh-CN"/>
        </w:rPr>
        <w:t>四</w:t>
      </w:r>
      <w:r>
        <w:rPr>
          <w:rFonts w:hint="default" w:ascii="Times New Roman" w:hAnsi="Times New Roman" w:eastAsia="黑体" w:cs="Times New Roman"/>
          <w:sz w:val="28"/>
          <w:szCs w:val="28"/>
          <w:highlight w:val="none"/>
        </w:rPr>
        <w:t>、</w:t>
      </w:r>
      <w:bookmarkStart w:id="400" w:name="_Toc2807_WPSOffice_Level2"/>
      <w:bookmarkStart w:id="401" w:name="_Toc27600_WPSOffice_Level2"/>
      <w:r>
        <w:rPr>
          <w:rFonts w:hint="default" w:ascii="Times New Roman" w:hAnsi="Times New Roman" w:eastAsia="黑体" w:cs="Times New Roman"/>
          <w:sz w:val="28"/>
          <w:szCs w:val="28"/>
          <w:highlight w:val="none"/>
          <w:lang w:eastAsia="zh-CN"/>
        </w:rPr>
        <w:t>供应商</w:t>
      </w:r>
      <w:r>
        <w:rPr>
          <w:rFonts w:hint="default" w:ascii="Times New Roman" w:hAnsi="Times New Roman" w:eastAsia="黑体" w:cs="Times New Roman"/>
          <w:sz w:val="28"/>
          <w:szCs w:val="28"/>
          <w:highlight w:val="none"/>
        </w:rPr>
        <w:t>基本情况</w:t>
      </w:r>
      <w:bookmarkEnd w:id="395"/>
      <w:bookmarkEnd w:id="396"/>
      <w:bookmarkEnd w:id="397"/>
      <w:bookmarkEnd w:id="398"/>
      <w:bookmarkEnd w:id="399"/>
      <w:bookmarkEnd w:id="400"/>
      <w:bookmarkEnd w:id="401"/>
    </w:p>
    <w:p>
      <w:pPr>
        <w:topLinePunct/>
        <w:spacing w:line="440" w:lineRule="exact"/>
        <w:jc w:val="center"/>
        <w:rPr>
          <w:rFonts w:hint="default" w:ascii="Times New Roman" w:hAnsi="Times New Roman" w:cs="Times New Roman"/>
          <w:sz w:val="23"/>
          <w:szCs w:val="23"/>
          <w:highlight w:val="none"/>
        </w:rPr>
      </w:pPr>
    </w:p>
    <w:tbl>
      <w:tblPr>
        <w:tblStyle w:val="15"/>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CN"/>
              </w:rPr>
              <w:t>供应商</w:t>
            </w:r>
            <w:r>
              <w:rPr>
                <w:rFonts w:hint="default" w:ascii="Times New Roman" w:hAnsi="Times New Roman" w:cs="Times New Roman"/>
                <w:szCs w:val="21"/>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w:t>
            </w:r>
            <w:r>
              <w:rPr>
                <w:rFonts w:hint="eastAsia"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eastAsia" w:ascii="Times New Roman" w:hAnsi="Times New Roman" w:cs="Times New Roman"/>
                <w:strike w:val="0"/>
                <w:szCs w:val="21"/>
                <w:highlight w:val="none"/>
                <w:lang w:val="en-US" w:eastAsia="zh-CN"/>
              </w:rPr>
              <w:t>职  务</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w:t>
            </w:r>
            <w:r>
              <w:rPr>
                <w:rFonts w:hint="eastAsia" w:ascii="Times New Roman" w:hAnsi="Times New Roman" w:cs="Times New Roman"/>
                <w:szCs w:val="21"/>
                <w:highlight w:val="none"/>
                <w:lang w:val="en-US" w:eastAsia="zh-CN"/>
              </w:rPr>
              <w:t>邮箱</w:t>
            </w:r>
          </w:p>
        </w:tc>
        <w:tc>
          <w:tcPr>
            <w:tcW w:w="2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rPr>
                <w:rFonts w:hint="default" w:ascii="Times New Roman" w:hAnsi="Times New Roman" w:cs="Times New Roman"/>
                <w:szCs w:val="21"/>
                <w:highlight w:val="none"/>
              </w:rPr>
            </w:pPr>
          </w:p>
          <w:p>
            <w:pPr>
              <w:topLinePunct/>
              <w:spacing w:line="440" w:lineRule="exact"/>
              <w:jc w:val="center"/>
              <w:rPr>
                <w:rFonts w:hint="default" w:ascii="Times New Roman" w:hAnsi="Times New Roman" w:cs="Times New Roman"/>
                <w:szCs w:val="21"/>
                <w:highlight w:val="none"/>
              </w:rPr>
            </w:pPr>
          </w:p>
          <w:p>
            <w:pPr>
              <w:topLinePunct/>
              <w:spacing w:line="440" w:lineRule="exact"/>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szCs w:val="21"/>
                <w:highlight w:val="none"/>
              </w:rPr>
            </w:pPr>
          </w:p>
        </w:tc>
      </w:tr>
    </w:tbl>
    <w:p>
      <w:pPr>
        <w:widowControl/>
        <w:autoSpaceDE w:val="0"/>
        <w:autoSpaceDN w:val="0"/>
        <w:spacing w:line="360" w:lineRule="atLeast"/>
        <w:ind w:left="180"/>
        <w:textAlignment w:val="bottom"/>
        <w:rPr>
          <w:rFonts w:hint="default" w:ascii="Times New Roman" w:hAnsi="Times New Roman" w:cs="Times New Roman"/>
          <w:sz w:val="20"/>
          <w:szCs w:val="20"/>
          <w:highlight w:val="none"/>
        </w:rPr>
      </w:pPr>
      <w:r>
        <w:rPr>
          <w:rFonts w:hint="default" w:ascii="Times New Roman" w:hAnsi="Times New Roman" w:eastAsia="黑体" w:cs="Times New Roman"/>
          <w:szCs w:val="21"/>
          <w:highlight w:val="none"/>
          <w:lang w:val="en-US" w:eastAsia="zh-CN"/>
        </w:rPr>
        <w:t>注：</w:t>
      </w:r>
    </w:p>
    <w:p>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在本表后应附企业法人营业执照、资质证书</w:t>
      </w:r>
      <w:r>
        <w:rPr>
          <w:rFonts w:hint="eastAsia" w:ascii="Times New Roman" w:hAnsi="Times New Roman" w:eastAsia="黑体" w:cs="Times New Roman"/>
          <w:szCs w:val="21"/>
          <w:highlight w:val="none"/>
          <w:lang w:val="en-US" w:eastAsia="zh-CN"/>
        </w:rPr>
        <w:t>（如有）</w:t>
      </w:r>
      <w:r>
        <w:rPr>
          <w:rFonts w:hint="default" w:ascii="Times New Roman" w:hAnsi="Times New Roman" w:eastAsia="黑体" w:cs="Times New Roman"/>
          <w:szCs w:val="21"/>
          <w:highlight w:val="none"/>
          <w:lang w:val="en-US" w:eastAsia="zh-CN"/>
        </w:rPr>
        <w:t>、安全生产许可证</w:t>
      </w:r>
      <w:r>
        <w:rPr>
          <w:rFonts w:hint="eastAsia" w:ascii="Times New Roman" w:hAnsi="Times New Roman" w:eastAsia="黑体" w:cs="Times New Roman"/>
          <w:szCs w:val="21"/>
          <w:highlight w:val="none"/>
          <w:lang w:val="en-US" w:eastAsia="zh-CN"/>
        </w:rPr>
        <w:t>（如有）</w:t>
      </w:r>
      <w:r>
        <w:rPr>
          <w:rFonts w:hint="default" w:ascii="Times New Roman" w:hAnsi="Times New Roman" w:eastAsia="黑体" w:cs="Times New Roman"/>
          <w:szCs w:val="21"/>
          <w:highlight w:val="none"/>
          <w:lang w:val="en-US" w:eastAsia="zh-CN"/>
        </w:rPr>
        <w:t>及资格审查要求的其他证件复印件。</w:t>
      </w:r>
    </w:p>
    <w:p>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szCs w:val="21"/>
          <w:highlight w:val="none"/>
        </w:rPr>
      </w:pPr>
    </w:p>
    <w:p>
      <w:pPr>
        <w:widowControl/>
        <w:autoSpaceDE/>
        <w:autoSpaceDN/>
        <w:spacing w:line="240" w:lineRule="auto"/>
        <w:ind w:left="0" w:leftChars="0" w:firstLine="0" w:firstLineChars="0"/>
        <w:textAlignment w:val="auto"/>
        <w:rPr>
          <w:rFonts w:hint="eastAsia" w:ascii="Times New Roman" w:hAnsi="Times New Roman" w:cs="Times New Roman"/>
          <w:highlight w:val="none"/>
          <w:lang w:val="en-US" w:eastAsia="zh-CN"/>
        </w:rPr>
      </w:pPr>
      <w:r>
        <w:rPr>
          <w:rFonts w:hint="default" w:ascii="Times New Roman" w:hAnsi="Times New Roman" w:eastAsia="黑体" w:cs="Times New Roman"/>
          <w:szCs w:val="21"/>
          <w:highlight w:val="none"/>
        </w:rPr>
        <w:br w:type="page"/>
      </w: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pPr>
    </w:p>
    <w:p>
      <w:pPr>
        <w:pStyle w:val="7"/>
        <w:spacing w:before="46"/>
        <w:ind w:left="33" w:right="83"/>
        <w:jc w:val="center"/>
        <w:rPr>
          <w:rFonts w:ascii="黑体" w:eastAsia="黑体"/>
          <w:sz w:val="30"/>
          <w:szCs w:val="30"/>
        </w:rPr>
      </w:pPr>
      <w:r>
        <w:rPr>
          <w:rFonts w:hint="eastAsia" w:ascii="黑体" w:eastAsia="黑体"/>
          <w:sz w:val="30"/>
          <w:szCs w:val="30"/>
          <w:lang w:val="en-US" w:eastAsia="zh-CN"/>
        </w:rPr>
        <w:t>五、</w:t>
      </w:r>
      <w:r>
        <w:rPr>
          <w:rFonts w:hint="eastAsia" w:ascii="黑体" w:eastAsia="黑体"/>
          <w:sz w:val="30"/>
          <w:szCs w:val="30"/>
        </w:rPr>
        <w:t>项目管理机构</w:t>
      </w:r>
    </w:p>
    <w:p>
      <w:pPr>
        <w:pStyle w:val="7"/>
        <w:spacing w:before="9"/>
        <w:rPr>
          <w:rFonts w:ascii="黑体"/>
        </w:rPr>
      </w:pPr>
    </w:p>
    <w:p>
      <w:pPr>
        <w:pStyle w:val="7"/>
        <w:ind w:left="33" w:right="83"/>
        <w:jc w:val="center"/>
        <w:rPr>
          <w:rFonts w:ascii="黑体" w:eastAsia="黑体"/>
        </w:rPr>
      </w:pPr>
      <w:r>
        <w:rPr>
          <w:rFonts w:hint="eastAsia" w:ascii="黑体" w:eastAsia="黑体"/>
        </w:rPr>
        <w:t>（一）项目管理机构组织机构图</w:t>
      </w:r>
    </w:p>
    <w:p>
      <w:pPr>
        <w:pStyle w:val="7"/>
        <w:spacing w:before="6"/>
        <w:rPr>
          <w:rFonts w:ascii="黑体"/>
          <w:sz w:val="13"/>
        </w:rPr>
      </w:pPr>
    </w:p>
    <w:tbl>
      <w:tblPr>
        <w:tblStyle w:val="15"/>
        <w:tblW w:w="0" w:type="auto"/>
        <w:tblInd w:w="5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2" w:hRule="atLeast"/>
        </w:trPr>
        <w:tc>
          <w:tcPr>
            <w:tcW w:w="8727" w:type="dxa"/>
          </w:tcPr>
          <w:p>
            <w:pPr>
              <w:pStyle w:val="22"/>
              <w:spacing w:line="254" w:lineRule="exact"/>
              <w:ind w:left="638"/>
            </w:pPr>
            <w:r>
              <w:t>拟为承包本标段工程设立的组织机构以框图方式表示。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6" w:hRule="atLeast"/>
        </w:trPr>
        <w:tc>
          <w:tcPr>
            <w:tcW w:w="8727" w:type="dxa"/>
          </w:tcPr>
          <w:p>
            <w:pPr>
              <w:pStyle w:val="22"/>
              <w:spacing w:line="254" w:lineRule="exact"/>
              <w:ind w:left="638"/>
            </w:pPr>
            <w:r>
              <w:t>说明</w:t>
            </w:r>
          </w:p>
        </w:tc>
      </w:tr>
    </w:tbl>
    <w:p>
      <w:pPr>
        <w:pStyle w:val="7"/>
        <w:rPr>
          <w:rFonts w:ascii="黑体"/>
        </w:rPr>
      </w:pPr>
    </w:p>
    <w:p>
      <w:pPr>
        <w:pStyle w:val="7"/>
        <w:spacing w:before="158"/>
        <w:ind w:left="33" w:right="83"/>
        <w:jc w:val="center"/>
        <w:rPr>
          <w:rFonts w:ascii="黑体" w:eastAsia="黑体"/>
        </w:rPr>
      </w:pPr>
      <w:r>
        <w:rPr>
          <w:rFonts w:hint="eastAsia" w:ascii="黑体" w:eastAsia="黑体"/>
        </w:rPr>
        <w:t>（二）项目管理机构人员组成表</w:t>
      </w:r>
    </w:p>
    <w:p>
      <w:pPr>
        <w:pStyle w:val="7"/>
        <w:spacing w:before="3" w:after="1"/>
        <w:rPr>
          <w:rFonts w:ascii="黑体"/>
          <w:sz w:val="12"/>
        </w:rPr>
      </w:pPr>
    </w:p>
    <w:tbl>
      <w:tblPr>
        <w:tblStyle w:val="16"/>
        <w:tblpPr w:leftFromText="180" w:rightFromText="180" w:vertAnchor="text" w:horzAnchor="page" w:tblpX="1458" w:tblpY="4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840"/>
        <w:gridCol w:w="1420"/>
        <w:gridCol w:w="244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序号</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姓名</w:t>
            </w: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身份证号</w:t>
            </w: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本项目中任职</w:t>
            </w: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职称、资格</w:t>
            </w: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1</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2</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3</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bl>
    <w:p>
      <w:pPr>
        <w:rPr>
          <w:rFonts w:ascii="Times New Roman"/>
          <w:sz w:val="22"/>
        </w:rPr>
        <w:sectPr>
          <w:pgSz w:w="11910" w:h="16850"/>
          <w:pgMar w:top="1540" w:right="820" w:bottom="1100" w:left="860" w:header="0" w:footer="826" w:gutter="0"/>
          <w:pgNumType w:fmt="numberInDash"/>
          <w:cols w:space="720" w:num="1"/>
        </w:sectPr>
      </w:pPr>
    </w:p>
    <w:p>
      <w:pPr>
        <w:keepNext w:val="0"/>
        <w:keepLines w:val="0"/>
        <w:pageBreakBefore w:val="0"/>
        <w:numPr>
          <w:ilvl w:val="0"/>
          <w:numId w:val="12"/>
        </w:numPr>
        <w:kinsoku/>
        <w:overflowPunct/>
        <w:bidi w:val="0"/>
        <w:spacing w:line="400" w:lineRule="exact"/>
        <w:jc w:val="center"/>
        <w:textAlignment w:val="auto"/>
        <w:rPr>
          <w:rFonts w:hint="eastAsia" w:ascii="黑体" w:eastAsia="黑体" w:hAnsiTheme="minorHAnsi" w:cstheme="minorBidi"/>
          <w:kern w:val="2"/>
          <w:sz w:val="30"/>
          <w:szCs w:val="30"/>
          <w:lang w:val="en-US" w:eastAsia="zh-CN" w:bidi="ar-SA"/>
        </w:rPr>
      </w:pPr>
      <w:r>
        <w:rPr>
          <w:rFonts w:hint="eastAsia" w:ascii="黑体" w:eastAsia="黑体" w:hAnsiTheme="minorHAnsi" w:cstheme="minorBidi"/>
          <w:kern w:val="2"/>
          <w:sz w:val="30"/>
          <w:szCs w:val="30"/>
          <w:lang w:val="en-US" w:eastAsia="zh-CN" w:bidi="ar-SA"/>
        </w:rPr>
        <w:t>报价清单</w:t>
      </w:r>
    </w:p>
    <w:tbl>
      <w:tblPr>
        <w:tblW w:w="8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5"/>
        <w:gridCol w:w="4515"/>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5" w:type="dxa"/>
            <w:gridSpan w:val="3"/>
            <w:tcBorders>
              <w:top w:val="single" w:color="000000" w:sz="8"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项目最高投标限价汇总表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25" w:type="dxa"/>
            <w:gridSpan w:val="3"/>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工程名称：阜阳管理处收费站收费大棚维修工程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85"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序号</w:t>
            </w:r>
          </w:p>
        </w:tc>
        <w:tc>
          <w:tcPr>
            <w:tcW w:w="45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单项工程名称</w:t>
            </w:r>
          </w:p>
        </w:tc>
        <w:tc>
          <w:tcPr>
            <w:tcW w:w="2625" w:type="dxa"/>
            <w:vMerge w:val="restart"/>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8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2625"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1</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阜阳管理处收费站收费大棚维修工程</w:t>
            </w: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right"/>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496260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Arial" w:eastAsia="仿宋_GB2312" w:cs="仿宋_GB2312"/>
                <w:i w:val="0"/>
                <w:iCs w:val="0"/>
                <w:color w:val="000000"/>
                <w:sz w:val="28"/>
                <w:szCs w:val="28"/>
                <w:u w:val="none"/>
              </w:rPr>
            </w:pP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jc w:val="right"/>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Arial" w:eastAsia="仿宋_GB2312" w:cs="仿宋_GB2312"/>
                <w:i w:val="0"/>
                <w:iCs w:val="0"/>
                <w:color w:val="000000"/>
                <w:sz w:val="28"/>
                <w:szCs w:val="28"/>
                <w:u w:val="none"/>
              </w:rPr>
            </w:pP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jc w:val="right"/>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Arial" w:eastAsia="仿宋_GB2312" w:cs="仿宋_GB2312"/>
                <w:i w:val="0"/>
                <w:iCs w:val="0"/>
                <w:color w:val="000000"/>
                <w:sz w:val="28"/>
                <w:szCs w:val="28"/>
                <w:u w:val="none"/>
              </w:rPr>
            </w:pP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jc w:val="right"/>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Arial" w:eastAsia="仿宋_GB2312" w:cs="仿宋_GB2312"/>
                <w:i w:val="0"/>
                <w:iCs w:val="0"/>
                <w:color w:val="000000"/>
                <w:sz w:val="28"/>
                <w:szCs w:val="28"/>
                <w:u w:val="none"/>
              </w:rPr>
            </w:pP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jc w:val="right"/>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Arial" w:eastAsia="仿宋_GB2312" w:cs="仿宋_GB2312"/>
                <w:i w:val="0"/>
                <w:iCs w:val="0"/>
                <w:color w:val="000000"/>
                <w:sz w:val="28"/>
                <w:szCs w:val="28"/>
                <w:u w:val="none"/>
              </w:rPr>
            </w:pP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jc w:val="right"/>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Arial" w:eastAsia="仿宋_GB2312" w:cs="仿宋_GB2312"/>
                <w:i w:val="0"/>
                <w:iCs w:val="0"/>
                <w:color w:val="000000"/>
                <w:sz w:val="28"/>
                <w:szCs w:val="28"/>
                <w:u w:val="none"/>
              </w:rPr>
            </w:pP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jc w:val="right"/>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885" w:type="dxa"/>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仿宋_GB2312" w:hAnsi="Arial" w:eastAsia="仿宋_GB2312" w:cs="仿宋_GB2312"/>
                <w:i w:val="0"/>
                <w:iCs w:val="0"/>
                <w:color w:val="000000"/>
                <w:sz w:val="28"/>
                <w:szCs w:val="28"/>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Arial" w:eastAsia="仿宋_GB2312" w:cs="仿宋_GB2312"/>
                <w:i w:val="0"/>
                <w:iCs w:val="0"/>
                <w:color w:val="000000"/>
                <w:sz w:val="28"/>
                <w:szCs w:val="28"/>
                <w:u w:val="none"/>
              </w:rPr>
            </w:pP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jc w:val="right"/>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top"/>
          </w:tcPr>
          <w:p>
            <w:pPr>
              <w:rPr>
                <w:rFonts w:hint="eastAsia" w:ascii="仿宋_GB2312" w:hAnsi="Arial"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pPr>
              <w:rPr>
                <w:rFonts w:hint="eastAsia" w:ascii="仿宋_GB2312" w:hAnsi="Arial"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top"/>
          </w:tcPr>
          <w:p>
            <w:pPr>
              <w:rPr>
                <w:rFonts w:hint="eastAsia" w:ascii="仿宋_GB2312" w:hAnsi="Arial"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00" w:type="dxa"/>
            <w:gridSpan w:val="2"/>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合计</w:t>
            </w:r>
          </w:p>
        </w:tc>
        <w:tc>
          <w:tcPr>
            <w:tcW w:w="2625"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right"/>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bdr w:val="none" w:color="auto" w:sz="0" w:space="0"/>
                <w:lang w:val="en-US" w:eastAsia="zh-CN" w:bidi="ar"/>
              </w:rPr>
              <w:t>496260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8025" w:type="dxa"/>
            <w:gridSpan w:val="3"/>
            <w:tcBorders>
              <w:top w:val="single" w:color="000000" w:sz="4" w:space="0"/>
              <w:left w:val="single" w:color="000000" w:sz="8" w:space="0"/>
              <w:bottom w:val="single" w:color="000000" w:sz="8" w:space="0"/>
              <w:right w:val="single" w:color="000000" w:sz="4" w:space="0"/>
            </w:tcBorders>
            <w:shd w:val="clear"/>
            <w:vAlign w:val="bottom"/>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r>
    </w:tbl>
    <w:p>
      <w:pPr>
        <w:keepNext w:val="0"/>
        <w:keepLines w:val="0"/>
        <w:pageBreakBefore w:val="0"/>
        <w:numPr>
          <w:numId w:val="0"/>
        </w:numPr>
        <w:kinsoku/>
        <w:overflowPunct/>
        <w:bidi w:val="0"/>
        <w:spacing w:line="400" w:lineRule="exact"/>
        <w:jc w:val="both"/>
        <w:textAlignment w:val="auto"/>
        <w:rPr>
          <w:rFonts w:hint="default" w:ascii="黑体" w:eastAsia="黑体" w:hAnsiTheme="minorHAnsi" w:cstheme="minorBidi"/>
          <w:kern w:val="2"/>
          <w:sz w:val="30"/>
          <w:szCs w:val="30"/>
          <w:lang w:val="en-US" w:eastAsia="zh-CN" w:bidi="ar-SA"/>
        </w:rPr>
      </w:pPr>
    </w:p>
    <w:p>
      <w:pPr>
        <w:keepNext w:val="0"/>
        <w:keepLines w:val="0"/>
        <w:pageBreakBefore w:val="0"/>
        <w:numPr>
          <w:numId w:val="0"/>
        </w:numPr>
        <w:kinsoku/>
        <w:overflowPunct/>
        <w:bidi w:val="0"/>
        <w:spacing w:line="400" w:lineRule="exact"/>
        <w:jc w:val="both"/>
        <w:textAlignment w:val="auto"/>
        <w:rPr>
          <w:rFonts w:hint="default" w:ascii="黑体" w:eastAsia="黑体" w:hAnsiTheme="minorHAnsi" w:cstheme="minorBidi"/>
          <w:kern w:val="2"/>
          <w:sz w:val="30"/>
          <w:szCs w:val="30"/>
          <w:lang w:val="en-US" w:eastAsia="zh-CN" w:bidi="ar-SA"/>
        </w:rPr>
      </w:pPr>
    </w:p>
    <w:p>
      <w:pPr>
        <w:keepNext w:val="0"/>
        <w:keepLines w:val="0"/>
        <w:pageBreakBefore w:val="0"/>
        <w:numPr>
          <w:numId w:val="0"/>
        </w:numPr>
        <w:kinsoku/>
        <w:overflowPunct/>
        <w:bidi w:val="0"/>
        <w:spacing w:line="400" w:lineRule="exact"/>
        <w:jc w:val="both"/>
        <w:textAlignment w:val="auto"/>
        <w:rPr>
          <w:rFonts w:hint="default" w:ascii="黑体" w:eastAsia="黑体" w:hAnsiTheme="minorHAnsi" w:cstheme="minorBidi"/>
          <w:kern w:val="2"/>
          <w:sz w:val="30"/>
          <w:szCs w:val="30"/>
          <w:lang w:val="en-US" w:eastAsia="zh-CN" w:bidi="ar-SA"/>
        </w:rPr>
      </w:pPr>
    </w:p>
    <w:p>
      <w:pPr>
        <w:keepNext w:val="0"/>
        <w:keepLines w:val="0"/>
        <w:pageBreakBefore w:val="0"/>
        <w:numPr>
          <w:numId w:val="0"/>
        </w:numPr>
        <w:kinsoku/>
        <w:overflowPunct/>
        <w:bidi w:val="0"/>
        <w:spacing w:line="400" w:lineRule="exact"/>
        <w:jc w:val="both"/>
        <w:textAlignment w:val="auto"/>
        <w:rPr>
          <w:rFonts w:hint="default" w:ascii="黑体" w:eastAsia="黑体" w:hAnsiTheme="minorHAnsi" w:cstheme="minorBidi"/>
          <w:kern w:val="2"/>
          <w:sz w:val="30"/>
          <w:szCs w:val="30"/>
          <w:lang w:val="en-US" w:eastAsia="zh-CN" w:bidi="ar-SA"/>
        </w:rPr>
      </w:pPr>
    </w:p>
    <w:p>
      <w:pPr>
        <w:keepNext w:val="0"/>
        <w:keepLines w:val="0"/>
        <w:pageBreakBefore w:val="0"/>
        <w:numPr>
          <w:numId w:val="0"/>
        </w:numPr>
        <w:kinsoku/>
        <w:overflowPunct/>
        <w:bidi w:val="0"/>
        <w:spacing w:line="400" w:lineRule="exact"/>
        <w:jc w:val="both"/>
        <w:textAlignment w:val="auto"/>
        <w:rPr>
          <w:rFonts w:hint="default" w:ascii="黑体" w:eastAsia="黑体" w:hAnsiTheme="minorHAnsi" w:cstheme="minorBidi"/>
          <w:kern w:val="2"/>
          <w:sz w:val="30"/>
          <w:szCs w:val="30"/>
          <w:lang w:val="en-US" w:eastAsia="zh-CN" w:bidi="ar-SA"/>
        </w:rPr>
      </w:pPr>
    </w:p>
    <w:tbl>
      <w:tblPr>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5"/>
        <w:gridCol w:w="1476"/>
        <w:gridCol w:w="1152"/>
        <w:gridCol w:w="2585"/>
        <w:gridCol w:w="705"/>
        <w:gridCol w:w="1080"/>
        <w:gridCol w:w="975"/>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705"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全费用单价分析表(清单)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3" w:hRule="atLeast"/>
        </w:trPr>
        <w:tc>
          <w:tcPr>
            <w:tcW w:w="5625" w:type="dxa"/>
            <w:gridSpan w:val="4"/>
            <w:tcBorders>
              <w:top w:val="nil"/>
              <w:left w:val="nil"/>
              <w:bottom w:val="nil"/>
              <w:right w:val="nil"/>
            </w:tcBorders>
            <w:shd w:val="clear"/>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工程名称：阜阳管理处收费站收费大棚维修工程</w:t>
            </w:r>
          </w:p>
        </w:tc>
        <w:tc>
          <w:tcPr>
            <w:tcW w:w="705" w:type="dxa"/>
            <w:tcBorders>
              <w:top w:val="nil"/>
              <w:left w:val="nil"/>
              <w:bottom w:val="nil"/>
              <w:right w:val="nil"/>
            </w:tcBorders>
            <w:shd w:val="clear"/>
            <w:vAlign w:val="center"/>
          </w:tcPr>
          <w:p>
            <w:pPr>
              <w:jc w:val="left"/>
              <w:rPr>
                <w:rFonts w:hint="eastAsia" w:ascii="黑体" w:hAnsi="宋体" w:eastAsia="黑体" w:cs="黑体"/>
                <w:i w:val="0"/>
                <w:iCs w:val="0"/>
                <w:color w:val="000000"/>
                <w:sz w:val="21"/>
                <w:szCs w:val="21"/>
                <w:u w:val="none"/>
              </w:rPr>
            </w:pPr>
          </w:p>
        </w:tc>
        <w:tc>
          <w:tcPr>
            <w:tcW w:w="1080" w:type="dxa"/>
            <w:tcBorders>
              <w:top w:val="nil"/>
              <w:left w:val="nil"/>
              <w:bottom w:val="nil"/>
              <w:right w:val="nil"/>
            </w:tcBorders>
            <w:shd w:val="clear"/>
            <w:vAlign w:val="center"/>
          </w:tcPr>
          <w:p>
            <w:pPr>
              <w:jc w:val="left"/>
              <w:rPr>
                <w:rFonts w:hint="eastAsia" w:ascii="黑体" w:hAnsi="宋体" w:eastAsia="黑体" w:cs="黑体"/>
                <w:i w:val="0"/>
                <w:iCs w:val="0"/>
                <w:color w:val="000000"/>
                <w:sz w:val="21"/>
                <w:szCs w:val="21"/>
                <w:u w:val="none"/>
              </w:rPr>
            </w:pPr>
          </w:p>
        </w:tc>
        <w:tc>
          <w:tcPr>
            <w:tcW w:w="975" w:type="dxa"/>
            <w:tcBorders>
              <w:top w:val="nil"/>
              <w:left w:val="nil"/>
              <w:bottom w:val="nil"/>
              <w:right w:val="nil"/>
            </w:tcBorders>
            <w:shd w:val="clear"/>
            <w:vAlign w:val="center"/>
          </w:tcPr>
          <w:p>
            <w:pPr>
              <w:jc w:val="lef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noWrap/>
            <w:vAlign w:val="center"/>
          </w:tcPr>
          <w:p>
            <w:pPr>
              <w:jc w:val="righ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序号</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项目编码</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项目名称</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项目特征</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工程量</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综合单价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一</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南照收费站收费大棚维修</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011606003004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收费大棚饰面拆除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1、拆除的基层类型：钢龙骨及面层（屋面投影面积），含脚手架搭拆及垃圾外运费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2、部位：收费站大棚天棚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011608001002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除锈刷漆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1、部位：原屋面网架及屋面檩条（屋面投影面积）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2、除锈等级：Sa2.5级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3、油漆品种、刷漆遍数:环氧富锌底漆二道；环氧云铁中间漆两道；防火涂料面漆（颜色与原有构件油漆颜色保持一致）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4、含脚手架搭拆费用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030412001001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普通灯具</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1、名称：LED防爆照明灯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2、规格：120w</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3、含原灯具拆除、满足业主使用要求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030411004001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照明线路整理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1、名称：线路改造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2、内容：收费大棚原吊顶处，照明线路整理及电线更换，此项费用为包干费用。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3、主材（电线、管道等）需为优质产品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二</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袁寨收费站收费大棚维修</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011606003004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收费大棚饰面拆除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1、拆除的基层类型：钢龙骨及面层（屋面投影面积），含脚手架搭拆及垃圾外运费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2、部位：收费站大棚天棚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011608001002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除锈刷漆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1、部位：原屋面网架及屋面檩条（屋面投影面积）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2、除锈等级：Sa2.5级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3、油漆品种、刷漆遍数:环氧富锌底漆二道；环氧云铁中间漆两道；防火涂料面漆（颜色与原有构件油漆颜色保持一致）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4、含脚手架搭拆费用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030412001001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普通灯具</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1、名称：LED防爆照明灯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2、规格：120w</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3、含原灯具拆除、满足业主使用要求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030411004001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照明线路整理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1、名称：线路改造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2、内容：收费大棚原吊顶处，照明线路整理及电线更换，此项费用为包干费用。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3、主材（电线、管道等）需为优质产品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阜阳东收费站收费大棚维修</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011606003004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收费大棚饰面拆除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1、拆除的基层类型：钢龙骨及面层（屋面投影面积），含脚手架搭拆及垃圾外运费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2、部位：收费站大棚天棚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011608001002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除锈刷漆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1、部位：原屋面网架及屋面檩条（屋面投影面积）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2、除锈等级：Sa2.5级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3、油漆品种、刷漆遍数:环氧富锌底漆二道；环氧云铁中间漆两道；防火涂料面漆（颜色与原有构件油漆颜色保持一致）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4、含脚手架搭拆费用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030412001001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普通灯具</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1、名称：LED防爆照明灯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2、规格：120w</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3、含原灯具拆除、满足业主使用要求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030411004001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照明线路整理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1、名称：线路改造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2、内容：收费大棚原吊顶处，照明线路整理及电线更换，此项费用为包干费用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3、主材（电线、管道等）需为优质产品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四</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毛集收费站收费大棚维修</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555"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011606003004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收费大棚饰面拆除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1、拆除的基层类型：钢龙骨及面层（屋面投影面积），含脚手架搭拆及垃圾外运费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2、部位：收费站大棚天棚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0" w:hRule="atLeast"/>
        </w:trPr>
        <w:tc>
          <w:tcPr>
            <w:tcW w:w="555"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011608001001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除锈刷漆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1、部位：原屋面网架及屋面檩条（屋面投影面积）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2、除锈等级：Sa2.5级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3、油漆品种、刷漆遍数:环氧富锌底漆二道；环氧云铁中间漆两道；防火涂料面漆（颜色与原有构件油漆颜色保持一致）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4、含脚手架搭拆费用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0" w:hRule="atLeast"/>
        </w:trPr>
        <w:tc>
          <w:tcPr>
            <w:tcW w:w="555"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030412001002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普通灯具</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1、名称：LED防爆照明灯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2、规格：120w</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3、含原灯具拆除、满足业主使用要求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30.000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16</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030411004001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照明线路整理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1、名称：线路改造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2、内容：收费大棚原吊顶处，照明线路整理及电线更换，此项费用为包干费用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3、主材（电线、管道等）需为优质产品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五</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bdr w:val="none" w:color="auto" w:sz="0" w:space="0"/>
                <w:lang w:val="en-US" w:eastAsia="zh-CN" w:bidi="ar"/>
              </w:rPr>
              <w:t>屋面彩钢板</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bCs/>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17</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010901002001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屋面彩钢板</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1、部位：原屋面板拆除处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2、材料种类、型号、规格：0.5mm厚彩钢屋面板(颜色由业主确定)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3、含脚手架搭拆及垃圾外运费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4、其他：描述不详之处详见设计图纸、图集、答疑、招标文件、政府相关文件、规范等其他资料，满足验收要求</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600.00 </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bCs/>
                <w:i w:val="0"/>
                <w:iCs w:val="0"/>
                <w:color w:val="000000"/>
                <w:sz w:val="21"/>
                <w:szCs w:val="21"/>
                <w:u w:val="none"/>
              </w:rPr>
            </w:pPr>
          </w:p>
        </w:tc>
      </w:tr>
    </w:tbl>
    <w:p>
      <w:pPr>
        <w:keepNext w:val="0"/>
        <w:keepLines w:val="0"/>
        <w:pageBreakBefore w:val="0"/>
        <w:numPr>
          <w:numId w:val="0"/>
        </w:numPr>
        <w:kinsoku/>
        <w:overflowPunct/>
        <w:bidi w:val="0"/>
        <w:spacing w:line="400" w:lineRule="exact"/>
        <w:jc w:val="both"/>
        <w:textAlignment w:val="auto"/>
        <w:rPr>
          <w:rFonts w:hint="default" w:ascii="黑体" w:eastAsia="黑体" w:hAnsiTheme="minorHAnsi" w:cstheme="minorBidi"/>
          <w:kern w:val="2"/>
          <w:sz w:val="30"/>
          <w:szCs w:val="30"/>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974F5"/>
    <w:multiLevelType w:val="singleLevel"/>
    <w:tmpl w:val="88F974F5"/>
    <w:lvl w:ilvl="0" w:tentative="0">
      <w:start w:val="1"/>
      <w:numFmt w:val="decimal"/>
      <w:suff w:val="nothing"/>
      <w:lvlText w:val="%1、"/>
      <w:lvlJc w:val="left"/>
    </w:lvl>
  </w:abstractNum>
  <w:abstractNum w:abstractNumId="1">
    <w:nsid w:val="9998518A"/>
    <w:multiLevelType w:val="singleLevel"/>
    <w:tmpl w:val="9998518A"/>
    <w:lvl w:ilvl="0" w:tentative="0">
      <w:start w:val="3"/>
      <w:numFmt w:val="decimal"/>
      <w:lvlText w:val="%1."/>
      <w:lvlJc w:val="left"/>
      <w:pPr>
        <w:tabs>
          <w:tab w:val="left" w:pos="312"/>
        </w:tabs>
      </w:pPr>
    </w:lvl>
  </w:abstractNum>
  <w:abstractNum w:abstractNumId="2">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9FA5CFF4"/>
    <w:multiLevelType w:val="singleLevel"/>
    <w:tmpl w:val="9FA5CFF4"/>
    <w:lvl w:ilvl="0" w:tentative="0">
      <w:start w:val="3"/>
      <w:numFmt w:val="chineseCounting"/>
      <w:suff w:val="space"/>
      <w:lvlText w:val="第%1章"/>
      <w:lvlJc w:val="left"/>
      <w:rPr>
        <w:rFonts w:hint="eastAsia"/>
      </w:rPr>
    </w:lvl>
  </w:abstractNum>
  <w:abstractNum w:abstractNumId="4">
    <w:nsid w:val="A8F8D041"/>
    <w:multiLevelType w:val="singleLevel"/>
    <w:tmpl w:val="A8F8D041"/>
    <w:lvl w:ilvl="0" w:tentative="0">
      <w:start w:val="2"/>
      <w:numFmt w:val="decimal"/>
      <w:lvlText w:val="%1."/>
      <w:lvlJc w:val="left"/>
      <w:pPr>
        <w:tabs>
          <w:tab w:val="left" w:pos="312"/>
        </w:tabs>
      </w:pPr>
    </w:lvl>
  </w:abstractNum>
  <w:abstractNum w:abstractNumId="5">
    <w:nsid w:val="CF8785AE"/>
    <w:multiLevelType w:val="singleLevel"/>
    <w:tmpl w:val="CF8785AE"/>
    <w:lvl w:ilvl="0" w:tentative="0">
      <w:start w:val="6"/>
      <w:numFmt w:val="chineseCounting"/>
      <w:suff w:val="nothing"/>
      <w:lvlText w:val="%1、"/>
      <w:lvlJc w:val="left"/>
      <w:rPr>
        <w:rFonts w:hint="eastAsia"/>
      </w:rPr>
    </w:lvl>
  </w:abstractNum>
  <w:abstractNum w:abstractNumId="6">
    <w:nsid w:val="E225DD0B"/>
    <w:multiLevelType w:val="singleLevel"/>
    <w:tmpl w:val="E225DD0B"/>
    <w:lvl w:ilvl="0" w:tentative="0">
      <w:start w:val="1"/>
      <w:numFmt w:val="decimal"/>
      <w:suff w:val="nothing"/>
      <w:lvlText w:val="%1、"/>
      <w:lvlJc w:val="left"/>
    </w:lvl>
  </w:abstractNum>
  <w:abstractNum w:abstractNumId="7">
    <w:nsid w:val="2E95D47B"/>
    <w:multiLevelType w:val="singleLevel"/>
    <w:tmpl w:val="2E95D47B"/>
    <w:lvl w:ilvl="0" w:tentative="0">
      <w:start w:val="1"/>
      <w:numFmt w:val="decimal"/>
      <w:pStyle w:val="3"/>
      <w:suff w:val="nothing"/>
      <w:lvlText w:val="%1．"/>
      <w:lvlJc w:val="left"/>
      <w:pPr>
        <w:ind w:left="20" w:firstLine="400"/>
      </w:pPr>
      <w:rPr>
        <w:rFonts w:hint="default"/>
      </w:rPr>
    </w:lvl>
  </w:abstractNum>
  <w:abstractNum w:abstractNumId="8">
    <w:nsid w:val="33A1D671"/>
    <w:multiLevelType w:val="singleLevel"/>
    <w:tmpl w:val="33A1D671"/>
    <w:lvl w:ilvl="0" w:tentative="0">
      <w:start w:val="2"/>
      <w:numFmt w:val="decimal"/>
      <w:suff w:val="space"/>
      <w:lvlText w:val="%1."/>
      <w:lvlJc w:val="left"/>
    </w:lvl>
  </w:abstractNum>
  <w:abstractNum w:abstractNumId="9">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6"/>
  </w:num>
  <w:num w:numId="6">
    <w:abstractNumId w:val="1"/>
  </w:num>
  <w:num w:numId="7">
    <w:abstractNumId w:val="8"/>
  </w:num>
  <w:num w:numId="8">
    <w:abstractNumId w:val="3"/>
  </w:num>
  <w:num w:numId="9">
    <w:abstractNumId w:val="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A4A05"/>
    <w:rsid w:val="10B3726F"/>
    <w:rsid w:val="11382A6E"/>
    <w:rsid w:val="16B319AE"/>
    <w:rsid w:val="18B524EE"/>
    <w:rsid w:val="1C952AB6"/>
    <w:rsid w:val="1D3E7149"/>
    <w:rsid w:val="45B42046"/>
    <w:rsid w:val="50E24DA0"/>
    <w:rsid w:val="531D6FB0"/>
    <w:rsid w:val="56DC61CD"/>
    <w:rsid w:val="5D3A4A05"/>
    <w:rsid w:val="702F0785"/>
    <w:rsid w:val="7115068C"/>
    <w:rsid w:val="76F27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line="560" w:lineRule="exact"/>
      <w:jc w:val="left"/>
      <w:outlineLvl w:val="2"/>
    </w:pPr>
    <w:rPr>
      <w:rFonts w:eastAsia="宋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qFormat/>
    <w:uiPriority w:val="0"/>
    <w:rPr>
      <w:rFonts w:ascii="宋体"/>
      <w:sz w:val="24"/>
      <w:szCs w:val="20"/>
    </w:r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8"/>
    <w:qFormat/>
    <w:uiPriority w:val="0"/>
    <w:pPr>
      <w:spacing w:after="120"/>
      <w:ind w:left="420" w:leftChars="200" w:firstLine="420" w:firstLineChars="200"/>
    </w:pPr>
    <w:rPr>
      <w:rFonts w:ascii="Calibri" w:hAnsi="Calibri"/>
      <w:kern w:val="2"/>
      <w:sz w:val="21"/>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paragraph" w:customStyle="1" w:styleId="19">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2021-04-29T05:41:00Z</dcterms:created>
  <dc:creator>王亚东</dc:creator>
  <cp:lastModifiedBy>王亚东</cp:lastModifiedBy>
  <cp:lastPrinted>2021-07-21T02:26:00Z</cp:lastPrinted>
  <dcterms:modified xsi:type="dcterms:W3CDTF">2022-04-01T07:32:44Z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CE284A08CD8442EEB249B9AFC38D5183</vt:lpwstr>
  </property>
</Properties>
</file>