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0"/>
        <w:rPr>
          <w:rFonts w:ascii="Times New Roman" w:hAnsi="Times New Roman" w:eastAsia="黑体" w:cs="Times New Roman"/>
          <w:color w:val="auto"/>
          <w:sz w:val="28"/>
          <w:szCs w:val="28"/>
          <w:highlight w:val="none"/>
        </w:rPr>
      </w:pPr>
      <w:bookmarkStart w:id="0" w:name="_Toc13985"/>
      <w:bookmarkStart w:id="1" w:name="_Toc1902_WPSOffice_Level1"/>
      <w:bookmarkStart w:id="2" w:name="_Toc14243"/>
      <w:bookmarkStart w:id="3" w:name="_Toc202_WPSOffice_Level1"/>
      <w:r>
        <w:rPr>
          <w:rFonts w:hint="eastAsia" w:ascii="Times New Roman" w:hAnsi="Times New Roman" w:eastAsia="黑体" w:cs="Times New Roman"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ascii="Times New Roman" w:hAnsi="Times New Roman" w:eastAsia="黑体" w:cs="Times New Roman"/>
          <w:color w:val="auto"/>
          <w:sz w:val="28"/>
          <w:szCs w:val="28"/>
          <w:highlight w:val="none"/>
        </w:rPr>
        <w:t>、已标价</w:t>
      </w:r>
      <w:r>
        <w:rPr>
          <w:rFonts w:hint="eastAsia" w:ascii="Times New Roman" w:hAnsi="Times New Roman" w:eastAsia="黑体" w:cs="Times New Roman"/>
          <w:color w:val="auto"/>
          <w:sz w:val="28"/>
          <w:szCs w:val="28"/>
          <w:highlight w:val="none"/>
          <w:lang w:val="en-US" w:eastAsia="zh-CN"/>
        </w:rPr>
        <w:t>的报价</w:t>
      </w:r>
      <w:r>
        <w:rPr>
          <w:rFonts w:ascii="Times New Roman" w:hAnsi="Times New Roman" w:eastAsia="黑体" w:cs="Times New Roman"/>
          <w:color w:val="auto"/>
          <w:sz w:val="28"/>
          <w:szCs w:val="28"/>
          <w:highlight w:val="none"/>
        </w:rPr>
        <w:t>清单</w:t>
      </w:r>
      <w:bookmarkEnd w:id="0"/>
      <w:bookmarkEnd w:id="1"/>
      <w:bookmarkEnd w:id="2"/>
      <w:bookmarkEnd w:id="3"/>
    </w:p>
    <w:p>
      <w:pPr>
        <w:spacing w:line="440" w:lineRule="exact"/>
        <w:ind w:firstLine="480" w:firstLineChars="200"/>
        <w:rPr>
          <w:rFonts w:ascii="Times New Roman" w:hAnsi="Times New Roman" w:eastAsia="黑体" w:cs="Times New Roman"/>
          <w:color w:val="auto"/>
          <w:sz w:val="24"/>
          <w:highlight w:val="none"/>
        </w:rPr>
      </w:pPr>
    </w:p>
    <w:p>
      <w:pPr>
        <w:keepNext w:val="0"/>
        <w:keepLines w:val="0"/>
        <w:widowControl/>
        <w:suppressLineNumbers w:val="0"/>
        <w:spacing w:line="560" w:lineRule="exact"/>
        <w:jc w:val="center"/>
        <w:textAlignment w:val="auto"/>
        <w:rPr>
          <w:rFonts w:hint="eastAsia" w:ascii="黑体" w:hAnsi="宋体" w:eastAsia="黑体" w:cs="宋体"/>
          <w:b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eastAsia" w:ascii="黑体" w:hAnsi="宋体" w:eastAsia="黑体" w:cs="宋体"/>
          <w:b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2022年蚌埠西收费站污水处理设施改造提升工程</w:t>
      </w:r>
    </w:p>
    <w:p>
      <w:pPr>
        <w:pStyle w:val="2"/>
        <w:jc w:val="center"/>
        <w:rPr>
          <w:rFonts w:hint="eastAsia" w:ascii="黑体" w:hAnsi="宋体" w:eastAsia="黑体" w:cs="宋体"/>
          <w:b/>
          <w:bCs w:val="0"/>
          <w:color w:val="auto"/>
          <w:kern w:val="0"/>
          <w:sz w:val="32"/>
          <w:szCs w:val="32"/>
          <w:highlight w:val="none"/>
          <w:u w:val="none"/>
          <w:lang w:val="en-US" w:bidi="ar"/>
        </w:rPr>
      </w:pPr>
      <w:r>
        <w:rPr>
          <w:rFonts w:hint="eastAsia" w:ascii="黑体" w:hAnsi="宋体" w:eastAsia="黑体" w:cs="宋体"/>
          <w:b/>
          <w:color w:val="auto"/>
          <w:kern w:val="0"/>
          <w:sz w:val="32"/>
          <w:szCs w:val="32"/>
          <w:highlight w:val="none"/>
          <w:lang w:bidi="ar"/>
        </w:rPr>
        <w:t>工程量清单</w:t>
      </w:r>
    </w:p>
    <w:tbl>
      <w:tblPr>
        <w:tblStyle w:val="6"/>
        <w:tblW w:w="9917" w:type="dxa"/>
        <w:tblInd w:w="-2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176"/>
        <w:gridCol w:w="931"/>
        <w:gridCol w:w="3441"/>
        <w:gridCol w:w="950"/>
        <w:gridCol w:w="950"/>
        <w:gridCol w:w="913"/>
        <w:gridCol w:w="9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9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1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金额(元)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土建部分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土石方工程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WB010101011001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人工清底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1、土壤类别：投标人依据设计图纸并自行踏勘现场后确定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2、挖土深度：详见设计图纸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386.85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010101003001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挖土方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1、部位：排水管道沟槽、检查井、调节池、化粪池、污泥池、隔油池等部位土方开挖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2、土壤类别：投标人依据设计图纸并自行踏勘现场后确定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3、挖土深度：详见设计图纸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4、说明：清单工程量已考虑放坡及工作面工程量，投标人综合考虑报价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5、其他：具体详见设计图纸、图集、招标文件、招标文件补疑、政府相关文件、规范等其它资料，满足验收要求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010103002001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余方弃置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1、废弃料品种：排水工程施工过程中产生的所有废料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2、运距：投标人自行踏勘现场后确定，弃土场、弃土场场地平整、保洁费、修建运输通道、路政、环保部门征收的等一切费用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3、其他：具体详见设计图纸、图集、招标文件、招标文件补疑、政府相关文件、规范等其它资料，满足验收要求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040103001001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填方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1、部位：排水沟槽回填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2、填方材料品种：素土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3、密实度要求：见设计图纸及相关规范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4、其他：具体详见设计图纸、图集、招标文件、招标文件补疑、政府相关文件、规范等其它资料，满足验收要求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040103001002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回填方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1、填方材料要求：4%石灰土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2、密实度要求：见设计图纸及相关规范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3、利用沟槽挖土方回填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4、说明：含消解石灰费用，投标人综合考虑报价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5、其他：具体详见设计图纸、图集、招标文件、招标文件补疑、政府相关文件、规范等其它资料，满足验收要求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040103001003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级配碎石回填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1、填方材料品种：级配碎石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2、密实度要求：见设计图纸及相关规范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3、部位：调节池、化粪池回填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4、其他：具体详见设计图纸、图集、招标文件、招标文件补疑、政府相关文件、规范等其它资料，满足验收要求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排水工程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WB040501021001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管道垫层及基础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1、部位：管道中粗砂垫层、180º中粗砂基础及管顶50cm中粗砂回填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2、材质：中粗砂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3、其他：具体详见设计图纸、图集、招标文件、招标文件补疑、政府相关文件、规范等其它资料，满足验收要求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040501004001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塑料管铺设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1、管道材质：污水用聚乙烯PE管、含开挖管道占地补偿费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2、管径：DN50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040501008001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牵引管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1、材质及规格：PE实壁牵引管，拉管施工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2、管径：DN110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3、含闭水试验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040501001001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污水混凝土管道铺设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1、管道类型、管道材质：DN300mm污水钢筋混凝土承插管(Ⅱ级)、含开挖现场补偿费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2、接口及连接方式：承插式橡胶圈接口、含管道闭水试验费用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040504002001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钢筋混凝土消能井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1、规格：1980*1980mm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2、构筑物混凝土强度：现浇C35抗渗混凝土，抗渗等级P6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3、垫层：现浇C20混凝土，垫层底部换填50cm碎石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4、钢筋：HPB300级钢筋，HRB400级钢筋，详见设计图纸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5、模板：包含钢法兰等预埋件制作及安装，投标人综合考虑报价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6、底板用1：2水泥砂浆抹面，20mm，砼预制块井筒高500mm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7、1200*1200重型球墨铸铁井盖井座一套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8、包含预埋件制作安装、管头填缝止水，具体做法详见工艺图质和结构图纸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9、构筑物内壁采用防腐涂料聚氨酯、环氧树脂两底两面，地面以下外侧池壁采用环氧煤沥青一底一面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040504002002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钢筋混凝土格栅井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1、规格：800*800mm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2、构筑物混凝土强度：现浇C30抗渗混凝土，抗渗等级P6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3、垫层：现浇C20混凝土，垫层底部换填50cm碎石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4、钢筋：HPB300级钢筋，HRB400级钢筋，详见设计图纸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5、模板：包含制作及安装，投标人综合考虑报价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6、800*800重型球磨铸铁井盖及井座一套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7、内含平板网格不锈钢人工格栅一套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8、包含预埋件制作安装、管头填缝止水，具体做法详见工艺图质和结构图纸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9、构筑物内壁采用防腐涂料聚氨酯、环氧树脂两底两面，地面以下外侧池壁采用环氧煤沥青一底一面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040504002003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钢筋混凝土泵井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1、规格：3000*2000mm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2、构筑物混凝土强度：现浇C30抗渗混凝土，抗渗等级P6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3、垫层：现浇C20混凝土，垫层底部换填50cm碎石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4、钢筋：HPB300级钢筋，HRB400级钢筋，详见设计图纸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5、模板：包含制作及安装，投标人综合考虑报价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6、700*700重型球磨铸铁井盖及井座2套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7、包含预埋件制作安装、管头填缝止水，具体做法详见工艺图质和结构图纸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8、构筑物内壁采用防腐涂料聚氨酯、环氧树脂两底两面，地面以下外侧池壁采用环氧煤沥青一底一面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040504002004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阀门井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1、规格：1500*2000mm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2、井墙为MU10标准机制转砌筑，砌筑砂浆为M7.5水泥砂浆，1：2防水砂浆抹面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3、垫层：现浇C20混凝土，垫层底部换填10cm卵石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4、钢筋：HPB300级钢筋，HRB400级钢筋，详见设计图纸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5、700*700重型球磨铸铁井盖及井座1套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6、包含预埋件制作安装、管头填缝止水，具体做法详见工艺图质和结构图纸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040504002005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流量计井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1、规格：1200*1200mm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2、构筑物混凝土强度：现浇C25混凝土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3、垫层：现浇C15混凝土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4、钢筋：HPB300级钢筋，HRB400级钢筋，详见设计图纸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5、模板：包含制作及安装，投标人综合考虑报价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6、φ600轻型球磨铸铁井盖及井座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7、包含预埋件制作安装、管头填缝止水，具体做法详见工艺图质和结构图纸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040504001001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排泥阀井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1、规格：φ800mm，具体做法详见图集07MS101-2-58、59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2、井墙为MU10烧结实心砖砌筑，砌筑砂浆为M10水泥砂浆，1：2防水砂浆抹面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3、垫层：现浇C15混凝土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4、钢筋：HPB300级钢筋，HRB400级钢筋，详见设计图纸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5、φ700轻型球磨铸铁井盖及井座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6、包含预埋件制作安装、管头填缝止水，具体做法详见工艺图质和结构图纸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WB040504010001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排泥湿井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1、检查井规格：Φ1000mm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2、做法：详见图集皖2015S209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3、包含钢筋、模板制作及安装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040504002006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钢筋混凝土污水检查井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1、检查井规格：Φ1000mm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2、做法：详见图集06MS201-3-21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3、包含钢筋、模板制作及安装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4、Φ700轻型(B200)复合材料或钢纤维混凝土井盖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5、检查井均设置安全网，聚乙烯网绳，质量及强度均需满足《安全网》(GB5725-2009)的相关要求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040504009001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砖砌偏沟式单篦雨水口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1、雨水箅子及圈口材质：球墨铸铁雨水篦子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2、做法详见图集06M201-8，6页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ZB040504009001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雨水口加固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1、部位：单篦雨水口加固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2、材料：C30混凝土、钢筋等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3、做法：具体做法详见设计图纸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4、说明：报价含底基层反挖、混凝土浇筑、养生、钢筋制作、运输及安装、模板制作、运输及安拆等所有工作内容，投标人综合考虑报价，结算时不予调整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5、其他：未尽事宜详见设计图纸、图集、招标文件、招标文件补疑、政府相关文件、规范等其它资料，满足验收要求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041001007001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拆除雨水口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1、单篦雨水口拆除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2、未尽事宜详见设计图纸、图集、招标文件、招标文件补疑、政府相关文件、规范等其它资料，满足验收要求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040501001002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现浇混凝土包管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1、部位：压力管包管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2、混凝土强度：C25混凝土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3、模板：包含制作及安装，投标人综合考虑报价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040205007001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标桩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1、规格尺寸：100*100*50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2、用红漆喷涂污水二字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031003011001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法兰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1、类型：钢塑转接法兰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3、连接形式：焊接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031003011002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弯头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1、类型：90度弯头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2、材质：PE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3、规格：DN50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WB031003001001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沟槽阀门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1、类型：闸阀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2、规格、压力等级：DN50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031003011003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三通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1、类型：三通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2、规格：DN50*50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管道清淤及拆除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041001006001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拆除管道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1、拆除现状管道、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2、管径：DN300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040101005001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管道清淤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1、管道堵塞清淤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040101005002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化粪池清淤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1、化粪池堵塞清淤清掏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现状管线保护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WB040501021002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现状管线保护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1、C25现浇混凝土盖板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2、材质：MU10砖砌体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3、管顶15cm以内中粗砂回填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4、未尽事宜详见设计图纸、采购文件、政府相关文件及技术规范等其他资料，满足验收要求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041001002001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拆除人行道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1、面层为6cm透水面包砖，3cm厚水泥砂浆，基层为15cmC20混凝土，垫层为15cm级配碎石、含垃圾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041001005001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拆除侧石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1、材质：芝麻灰花岗岩侧石750*250*150mm、含垃圾外运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041001001001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拆除路面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1、30cm混凝土面板，20cm混凝土基层，20cm级配碎石垫层、含垃圾外运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041001001002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拆除路面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1、面层4cm沥青混凝土，6cm沥青混凝土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2、20cm混凝土基层，20cm级配碎石垫层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050101006001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清除草皮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1、草皮种类：马尼拉草皮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050102012001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铺种草皮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1、整理绿化用地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2、草皮种类：马尼拉草皮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3、铺种方式：满铺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4、养护期：成活养护1个月，保存养护23个月，二级养护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WB010101007001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素土夯实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1、人行道素土夯实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2、密实度≥93%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3、未尽事宜详见设计图纸、招标答疑、政府相关文件、规范等资料,满足验收要求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040202011001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级配碎石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1、材料品种及比例：级配碎石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2、15cm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3、未尽事宜详见设计图纸、招标答疑、政府相关文件、规范等资料,满足验收要求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040204002001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人行道砖安砌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1、结合层厚度、砂浆配合比：30mm厚1:3干硬性水泥砂浆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2、面层材料品种、规格：100*200*50透水砖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3、未尽事宜详见设计图纸、招标答疑、政府相关文件、规范等资料,满足验收要求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040303001001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混凝土垫层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1、混凝土强度等级：C20商品混凝土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2、15cm人行道基层混凝土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040202011002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级配碎石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1、材料品种及比例：级配碎石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2、20cm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3、未尽事宜详见设计图纸、招标答疑、政府相关文件、规范等资料,满足验收要求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040203007001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水泥混凝土基层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1、混凝土强度等级：C20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2、厚度：20cm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3、伸缩缝：胀缝、缩缝、施工缝结合现场实际情况设置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4、含模板、养生、刻痕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5、其他：具体详见设计图纸、图集、招标文件、招标文件补疑、政府相关文件、规范等其它资料，满足验收要求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040203007002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水泥混凝土面层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1、混凝土强度等级：C30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2、厚度：30cm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3、伸缩缝：胀缝、缩缝、施工缝、传力杆结合现场实际情况设置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4、含模板、养生、刻痕、D8钢筋网片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5、其他：具体详见设计图纸、图集、招标文件、招标文件补疑、政府相关文件、规范等其它资料，满足验收要求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060105006001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聚酯玻纤布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1、铺设位置：沥青混凝土面层底部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050201003001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安砌石质侧石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1、路牙材料种类：250高700X150芝麻灰花岗岩侧石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2、结合层材料：30mm厚1:3水泥砂浆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3、靠背材料：C20混凝土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4、未尽事宜详见设计图纸、招标答疑、政府相关文件、规范等资料,满足验收要求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040202001001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路床整形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1、土厚10cm以内挖高填低，压实度≥95%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2、碾压、检验、理顺坡度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3、其他：具体详见设计图纸、图集、招标文件、招标文件补疑、政府相关文件、规范等其它资料，满足验收要求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040203003001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粘层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1、材料品种：快裂型改性乳化沥青PCR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040203006001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沥青混凝土面层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1、沥青混凝土品种：AC-16C 中粒式沥青混凝土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2、厚度：6cm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3、其他：具体详见设计图纸、图集、招标文件、招标文件补疑、政府相关文件、规范等其它资料，满足验收要求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040203006002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沥青混凝土面层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1、沥青混凝土品种：AC-13C 细粒式沥青混凝土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2、厚度：4cm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围墙破复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050307006001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铁艺围墙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1、铁艺栏杆破复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2、铁艺栏杆高度：1.8m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3、具体详见设计图纸、图集、招标文件、招标文件补疑、政府相关文件、规范等其它资料，满足验收要求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按项部分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11705001001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大型机械设备进出场及安拆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1、挖掘机进退场、破碎机进退场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2、投标人依据设计图纸自行踏勘现场综合报价，中标后不予调整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台次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10202008001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排水沟、阻水梗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1、泵池基础排水沟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2、投标人依据设计图纸自行踏勘现场综合报价，中标后不予调整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WB010202011001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基坑土钉支护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1、泵池基础开挖边坡支护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2、投标人依据设计图纸自行踏勘现场综合报价，中标后不予调整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WB011614004001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管井降水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1、泵池基础开挖，地下降水井，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2、投标人依据设计图纸自行踏勘现场综合报价，中标后不予调整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WB011614004002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管道封堵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1、现状污水管道废除封堵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2、投标人依据设计图纸自行踏勘现场综合报价，中标后不予调整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WB011614004003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建筑垃圾清运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1、管道清淤拆除部分、破复部分等建筑垃圾清运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2、运距：投标人自行踏勘现场后确定，结算时不再调整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3、未尽事宜详见设计图纸、采购文件、政府相关文件及技术规范等其他资料，满足验收要求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WB011614004004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接驳费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1、污水管网与市政管网接驳费用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2、投标人依据设计图纸自行踏勘现场综合报价，中标后不予调整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3、具体详见图纸、图集、答疑、招标文件、政府相关文件、规范等其它资料，满足验收要求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安装部分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污水处理系统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040501004001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塑料管铺设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1、管道材质：UPVC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2、安装部位：室外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3、连接方式：承插连接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4、管径：DN200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5、含管道、管件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031001006001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1、名称：UPVC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2、安装部位：室外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3、介质：污水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4、规格、压力等级：DN80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5、连接形式：承插连接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6、含管道、管件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031001006002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1、名称：UPVC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2、安装部位：室外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3、介质：污水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4、规格、压力等级：DN65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5、连接形式：承插连接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6、含管道、管件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15.71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031001006003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1、名称：UPVC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2、安装部位：室外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3、介质：污水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4、规格、压力等级：DN50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5、连接形式：承插连接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6、含管道、管件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10.28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031001006004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1、名称：UPVC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2、安装部位：室外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3、介质：污水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4、规格、压力等级：DN40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5、连接形式：承插连接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6、含管道、管件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19.77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031001006005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1、名称：UPVC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2、安装部位：室外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3、介质：污水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4、规格、压力等级：DN32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5、连接形式：承插连接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6、含管道、管件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031001006006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1、名称：UPVC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2、安装部位：室外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3、介质：污水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4、规格、压力等级：DN20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5、连接形式：承插连接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6、含管道、管件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031001006007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1、名称：UPVC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2、安装部位：室外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3、介质：污水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4、规格、压力等级：DN15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5、连接形式：承插连接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6、含管道、管件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15.22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031001003001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1、名称：单泵出水管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2、介质：SS304不锈钢管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3、规格、压力等级：DN50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4、连接形式：螺纹连接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040602002001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格栅除污机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1、名称：回转式格栅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2、规格、型号：栅隙n=5mm,栅渠宽度800mm 功率1.1kw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3、包含警示标志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030109001001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离心泵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1、名称：污水潜水泵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2、规格：Q=3m3/h,H=10m,N=0.75kw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3、包含控制柜、配管及配套防水电缆、自耦装置、液位自动控制装置等所有附件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031003001001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螺纹阀门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1、类型：球形污水缓闭止回阀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2、材质：铸铁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3、规格：DN50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4、连接形式：螺纹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031003001002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螺纹阀门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1、类型：闸阀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2、材质：铜芯阀门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3、规格：DN50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4、连接形式：螺纹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031003011001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法兰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1、类型：不锈钢法兰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3、连接形式：焊接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031003010001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软接头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1、名称：可曲挠橡胶管接头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2、材质：橡胶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3、规格：DN50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4、连接形式：法兰连接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5、软接头安装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030601002001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压力仪表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1、名称：压力表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2、型号：YTP-100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台（块）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ZB030101001001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隔油池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1、名称：地埋式隔油池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2、型号、规格：详见图集03SS703-1-76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031002003001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套管制作与安装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1、名称：刚性防水套管制作、安装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2、介质管道的规格：DN50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3、配合预留孔洞及混凝土浇筑、加填料及封堵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031002003002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套管制作与安装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1、名称：钢套管制作、安装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2、介质管道的规格：DN50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3、套管规格：按设计图纸及规范要求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4、填塞密封材料、堵洞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031002003003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套管制作与安装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1、名称：柔性防水套管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2、规格：DN50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3、其他未尽事宜，具体详见图纸、图集、答疑、招标文件、政府相关文件、规范等其他资料，满足验收要求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ZB030101001002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管道钢材及其它配件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1、名称：管道钢材及其它配件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2、其他未尽事宜，具体详见图纸、图集、答疑、招标文件、政府相关文件、规范等其他资料，满足验收要求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电气系统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030404017001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1、名称：配电箱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2、型号：详见系统图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3、安装方式：落地安装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4、内容：包含控制箱基础、接地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WB030413004001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基础槽钢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1、名称：热镀锌槽钢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2、规格：63*40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030411001001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1、名称：焊接钢管（暂定量）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2、规格：SC40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3、敷设方式：暗敷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030411001002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1、名称：焊接钢管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2、规格：SC32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3、敷设方式：暗敷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030411001003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配管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1、名称：焊接钢管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2、规格：SC25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3、敷设方式：暗敷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31.86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030408001001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1、名称：电力电缆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2、规格：YJV-5*6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3、敷设方式、部位：暗配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030409001001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接地极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1、名称：接地极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2、材质：角钢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3、规格：∠50*5*2500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030409002001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接地母线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1、名称：热镀锌扁钢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2、规格：-40x4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21.64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ZB030101001003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收费站内接电</w:t>
            </w:r>
          </w:p>
        </w:tc>
        <w:tc>
          <w:tcPr>
            <w:tcW w:w="3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1、名称：收费站内接电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2、其他未尽事宜详见图纸、招标文件、答疑文件、图集、政府相关文件及规范等其他文件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0NGQwZDA3M2EzNWRlZjkxOGE2ZjgzM2FiNjYxYzUifQ=="/>
  </w:docVars>
  <w:rsids>
    <w:rsidRoot w:val="1DEE4FBD"/>
    <w:rsid w:val="1DEE4FBD"/>
    <w:rsid w:val="3004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pPr>
      <w:snapToGrid w:val="0"/>
      <w:ind w:firstLine="200"/>
    </w:pPr>
    <w:rPr>
      <w:rFonts w:ascii="Arial" w:hAnsi="Arial" w:cs="Arial"/>
      <w:szCs w:val="20"/>
    </w:rPr>
  </w:style>
  <w:style w:type="paragraph" w:styleId="5">
    <w:name w:val="Body Text First Indent 2"/>
    <w:basedOn w:val="3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2022-09-08T06:31:00Z</dcterms:created>
  <dc:creator>曹先生</dc:creator>
  <cp:lastModifiedBy>曹先生</cp:lastModifiedBy>
  <dcterms:modified xsi:type="dcterms:W3CDTF">2022-09-08T06:36:31Z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48277EA885BF46A7BF833FD946A4E425</vt:lpwstr>
  </property>
</Properties>
</file>